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9.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1A17A" w14:textId="5B065B24" w:rsidR="003721DB" w:rsidRDefault="001D0474" w:rsidP="003721DB">
      <w:pPr>
        <w:spacing w:line="480" w:lineRule="auto"/>
        <w:ind w:firstLine="576"/>
        <w:jc w:val="right"/>
        <w:rPr>
          <w:rFonts w:ascii="Times New Roman" w:hAnsi="Times New Roman" w:cs="Times New Roman"/>
          <w:sz w:val="24"/>
          <w:szCs w:val="24"/>
        </w:rPr>
      </w:pPr>
      <w:r>
        <w:rPr>
          <w:rFonts w:ascii="Times New Roman" w:hAnsi="Times New Roman" w:cs="Times New Roman"/>
          <w:b/>
          <w:sz w:val="24"/>
          <w:szCs w:val="24"/>
        </w:rPr>
        <w:t xml:space="preserve">                                       </w:t>
      </w:r>
      <w:r w:rsidR="00C938ED">
        <w:rPr>
          <w:rFonts w:ascii="Times New Roman" w:hAnsi="Times New Roman" w:cs="Times New Roman"/>
          <w:sz w:val="24"/>
          <w:szCs w:val="24"/>
        </w:rPr>
        <w:t>February</w:t>
      </w:r>
      <w:r w:rsidR="006236D7">
        <w:rPr>
          <w:rFonts w:ascii="Times New Roman" w:hAnsi="Times New Roman" w:cs="Times New Roman"/>
          <w:sz w:val="24"/>
          <w:szCs w:val="24"/>
        </w:rPr>
        <w:t xml:space="preserve"> </w:t>
      </w:r>
      <w:r w:rsidR="003721DB" w:rsidRPr="003721DB">
        <w:rPr>
          <w:rFonts w:ascii="Times New Roman" w:hAnsi="Times New Roman" w:cs="Times New Roman"/>
          <w:sz w:val="24"/>
          <w:szCs w:val="24"/>
        </w:rPr>
        <w:t>201</w:t>
      </w:r>
      <w:r w:rsidR="006236D7">
        <w:rPr>
          <w:rFonts w:ascii="Times New Roman" w:hAnsi="Times New Roman" w:cs="Times New Roman"/>
          <w:sz w:val="24"/>
          <w:szCs w:val="24"/>
        </w:rPr>
        <w:t>6</w:t>
      </w:r>
    </w:p>
    <w:p w14:paraId="304640A0" w14:textId="77777777" w:rsidR="003721DB" w:rsidRDefault="003721DB" w:rsidP="003721DB">
      <w:pPr>
        <w:spacing w:line="480" w:lineRule="auto"/>
        <w:ind w:firstLine="576"/>
        <w:jc w:val="right"/>
        <w:rPr>
          <w:rFonts w:ascii="Times New Roman" w:hAnsi="Times New Roman" w:cs="Times New Roman"/>
          <w:sz w:val="24"/>
          <w:szCs w:val="24"/>
        </w:rPr>
      </w:pPr>
    </w:p>
    <w:p w14:paraId="764A7AA4" w14:textId="6B719AF5" w:rsidR="003721DB" w:rsidRDefault="003721DB" w:rsidP="003721DB">
      <w:pPr>
        <w:spacing w:line="480" w:lineRule="auto"/>
        <w:ind w:firstLine="576"/>
        <w:jc w:val="center"/>
        <w:rPr>
          <w:rFonts w:ascii="Times New Roman" w:hAnsi="Times New Roman" w:cs="Times New Roman"/>
          <w:b/>
          <w:sz w:val="24"/>
          <w:szCs w:val="24"/>
        </w:rPr>
      </w:pPr>
      <w:r>
        <w:rPr>
          <w:rFonts w:ascii="Times New Roman" w:hAnsi="Times New Roman" w:cs="Times New Roman"/>
          <w:b/>
          <w:sz w:val="24"/>
          <w:szCs w:val="24"/>
        </w:rPr>
        <w:t>The Taylor Rule in the 1920s</w:t>
      </w:r>
    </w:p>
    <w:p w14:paraId="7AA2F112" w14:textId="25B88387" w:rsidR="003721DB" w:rsidRDefault="003721DB" w:rsidP="003721DB">
      <w:pPr>
        <w:spacing w:line="480" w:lineRule="auto"/>
        <w:ind w:firstLine="576"/>
        <w:jc w:val="center"/>
        <w:rPr>
          <w:rFonts w:ascii="Times New Roman" w:hAnsi="Times New Roman" w:cs="Times New Roman"/>
          <w:sz w:val="24"/>
          <w:szCs w:val="24"/>
        </w:rPr>
      </w:pPr>
      <w:r>
        <w:rPr>
          <w:rFonts w:ascii="Times New Roman" w:hAnsi="Times New Roman" w:cs="Times New Roman"/>
          <w:sz w:val="24"/>
          <w:szCs w:val="24"/>
        </w:rPr>
        <w:t>by</w:t>
      </w:r>
    </w:p>
    <w:p w14:paraId="580728E3" w14:textId="63453BFC" w:rsidR="003721DB" w:rsidRDefault="003721DB" w:rsidP="003721DB">
      <w:pPr>
        <w:spacing w:after="0" w:line="240" w:lineRule="auto"/>
        <w:ind w:firstLine="576"/>
        <w:jc w:val="center"/>
        <w:rPr>
          <w:rFonts w:ascii="Times New Roman" w:hAnsi="Times New Roman" w:cs="Times New Roman"/>
          <w:sz w:val="24"/>
          <w:szCs w:val="24"/>
        </w:rPr>
      </w:pPr>
      <w:r>
        <w:rPr>
          <w:rFonts w:ascii="Times New Roman" w:hAnsi="Times New Roman" w:cs="Times New Roman"/>
          <w:sz w:val="24"/>
          <w:szCs w:val="24"/>
        </w:rPr>
        <w:t>Alexander J. Field</w:t>
      </w:r>
      <w:r w:rsidR="009B2713">
        <w:rPr>
          <w:rFonts w:ascii="Times New Roman" w:hAnsi="Times New Roman" w:cs="Times New Roman"/>
          <w:sz w:val="24"/>
          <w:szCs w:val="24"/>
        </w:rPr>
        <w:t>*</w:t>
      </w:r>
    </w:p>
    <w:p w14:paraId="47C78327" w14:textId="5993FB8C" w:rsidR="003721DB" w:rsidRDefault="003721DB" w:rsidP="003721DB">
      <w:pPr>
        <w:spacing w:after="0" w:line="240" w:lineRule="auto"/>
        <w:ind w:firstLine="576"/>
        <w:jc w:val="center"/>
        <w:rPr>
          <w:rFonts w:ascii="Times New Roman" w:hAnsi="Times New Roman" w:cs="Times New Roman"/>
          <w:sz w:val="24"/>
          <w:szCs w:val="24"/>
        </w:rPr>
      </w:pPr>
      <w:r>
        <w:rPr>
          <w:rFonts w:ascii="Times New Roman" w:hAnsi="Times New Roman" w:cs="Times New Roman"/>
          <w:sz w:val="24"/>
          <w:szCs w:val="24"/>
        </w:rPr>
        <w:t>Department of Economics</w:t>
      </w:r>
    </w:p>
    <w:p w14:paraId="0C913153" w14:textId="420C94C0" w:rsidR="003721DB" w:rsidRDefault="003721DB" w:rsidP="003721DB">
      <w:pPr>
        <w:spacing w:after="0" w:line="240" w:lineRule="auto"/>
        <w:ind w:firstLine="576"/>
        <w:jc w:val="center"/>
        <w:rPr>
          <w:rFonts w:ascii="Times New Roman" w:hAnsi="Times New Roman" w:cs="Times New Roman"/>
          <w:sz w:val="24"/>
          <w:szCs w:val="24"/>
        </w:rPr>
      </w:pPr>
      <w:r>
        <w:rPr>
          <w:rFonts w:ascii="Times New Roman" w:hAnsi="Times New Roman" w:cs="Times New Roman"/>
          <w:sz w:val="24"/>
          <w:szCs w:val="24"/>
        </w:rPr>
        <w:t>Santa Clara University</w:t>
      </w:r>
    </w:p>
    <w:p w14:paraId="1ABC3A12" w14:textId="77B36187" w:rsidR="003721DB" w:rsidRDefault="003721DB" w:rsidP="003721DB">
      <w:pPr>
        <w:spacing w:after="0" w:line="240" w:lineRule="auto"/>
        <w:ind w:firstLine="576"/>
        <w:jc w:val="center"/>
        <w:rPr>
          <w:rFonts w:ascii="Times New Roman" w:hAnsi="Times New Roman" w:cs="Times New Roman"/>
          <w:sz w:val="24"/>
          <w:szCs w:val="24"/>
        </w:rPr>
      </w:pPr>
      <w:r>
        <w:rPr>
          <w:rFonts w:ascii="Times New Roman" w:hAnsi="Times New Roman" w:cs="Times New Roman"/>
          <w:sz w:val="24"/>
          <w:szCs w:val="24"/>
        </w:rPr>
        <w:t>Santa Clara, CA 95053</w:t>
      </w:r>
    </w:p>
    <w:p w14:paraId="0B63A91D" w14:textId="60D0245C" w:rsidR="00E44B8D" w:rsidRDefault="006D4A44" w:rsidP="003721DB">
      <w:pPr>
        <w:spacing w:after="0" w:line="240" w:lineRule="auto"/>
        <w:ind w:firstLine="576"/>
        <w:jc w:val="center"/>
        <w:rPr>
          <w:rFonts w:ascii="Times New Roman" w:hAnsi="Times New Roman" w:cs="Times New Roman"/>
          <w:sz w:val="24"/>
          <w:szCs w:val="24"/>
        </w:rPr>
      </w:pPr>
      <w:hyperlink r:id="rId8" w:history="1">
        <w:r w:rsidR="009B2713" w:rsidRPr="00A71714">
          <w:rPr>
            <w:rStyle w:val="Hyperlink"/>
            <w:rFonts w:ascii="Times New Roman" w:hAnsi="Times New Roman" w:cs="Times New Roman"/>
            <w:sz w:val="24"/>
            <w:szCs w:val="24"/>
          </w:rPr>
          <w:t>afield@scu.edu</w:t>
        </w:r>
      </w:hyperlink>
    </w:p>
    <w:p w14:paraId="4CD5AF04" w14:textId="77777777" w:rsidR="009B2713" w:rsidRDefault="009B2713" w:rsidP="003721DB">
      <w:pPr>
        <w:spacing w:after="0" w:line="240" w:lineRule="auto"/>
        <w:ind w:firstLine="576"/>
        <w:jc w:val="center"/>
        <w:rPr>
          <w:rFonts w:ascii="Times New Roman" w:hAnsi="Times New Roman" w:cs="Times New Roman"/>
          <w:sz w:val="24"/>
          <w:szCs w:val="24"/>
        </w:rPr>
      </w:pPr>
    </w:p>
    <w:p w14:paraId="745B1C8C" w14:textId="77777777" w:rsidR="009B2713" w:rsidRDefault="009B2713" w:rsidP="003721DB">
      <w:pPr>
        <w:spacing w:after="0" w:line="240" w:lineRule="auto"/>
        <w:ind w:firstLine="576"/>
        <w:jc w:val="center"/>
        <w:rPr>
          <w:rFonts w:ascii="Times New Roman" w:hAnsi="Times New Roman" w:cs="Times New Roman"/>
          <w:sz w:val="24"/>
          <w:szCs w:val="24"/>
        </w:rPr>
      </w:pPr>
    </w:p>
    <w:p w14:paraId="5B6F844E" w14:textId="77777777" w:rsidR="009B2713" w:rsidRDefault="009B2713" w:rsidP="003721DB">
      <w:pPr>
        <w:spacing w:after="0" w:line="240" w:lineRule="auto"/>
        <w:ind w:firstLine="576"/>
        <w:jc w:val="center"/>
        <w:rPr>
          <w:rFonts w:ascii="Times New Roman" w:hAnsi="Times New Roman" w:cs="Times New Roman"/>
          <w:sz w:val="24"/>
          <w:szCs w:val="24"/>
        </w:rPr>
      </w:pPr>
    </w:p>
    <w:p w14:paraId="1A4B8242" w14:textId="55D72A61" w:rsidR="003721DB" w:rsidRDefault="003721DB" w:rsidP="003721DB">
      <w:pPr>
        <w:spacing w:after="0" w:line="240" w:lineRule="auto"/>
        <w:ind w:firstLine="576"/>
        <w:jc w:val="center"/>
        <w:rPr>
          <w:rFonts w:ascii="Times New Roman" w:hAnsi="Times New Roman" w:cs="Times New Roman"/>
          <w:sz w:val="24"/>
          <w:szCs w:val="24"/>
        </w:rPr>
      </w:pPr>
    </w:p>
    <w:p w14:paraId="5DD0E6A8" w14:textId="0A84ECE0" w:rsidR="003721DB" w:rsidRDefault="00E44B8D" w:rsidP="003721DB">
      <w:pPr>
        <w:spacing w:after="0" w:line="240" w:lineRule="auto"/>
        <w:ind w:firstLine="576"/>
        <w:jc w:val="center"/>
        <w:rPr>
          <w:rFonts w:ascii="Times New Roman" w:hAnsi="Times New Roman" w:cs="Times New Roman"/>
          <w:sz w:val="24"/>
          <w:szCs w:val="24"/>
          <w:u w:val="single"/>
        </w:rPr>
      </w:pPr>
      <w:r>
        <w:rPr>
          <w:rFonts w:ascii="Times New Roman" w:hAnsi="Times New Roman" w:cs="Times New Roman"/>
          <w:sz w:val="24"/>
          <w:szCs w:val="24"/>
        </w:rPr>
        <w:t>ABSTRACT</w:t>
      </w:r>
    </w:p>
    <w:p w14:paraId="20F5FF91" w14:textId="77777777" w:rsidR="003721DB" w:rsidRDefault="003721DB" w:rsidP="003721DB">
      <w:pPr>
        <w:spacing w:after="0" w:line="240" w:lineRule="auto"/>
        <w:ind w:firstLine="576"/>
        <w:jc w:val="center"/>
        <w:rPr>
          <w:rFonts w:ascii="Times New Roman" w:hAnsi="Times New Roman" w:cs="Times New Roman"/>
          <w:sz w:val="24"/>
          <w:szCs w:val="24"/>
          <w:u w:val="single"/>
        </w:rPr>
      </w:pPr>
    </w:p>
    <w:p w14:paraId="3B7CF440" w14:textId="3AE20C74" w:rsidR="003721DB" w:rsidRDefault="003721DB" w:rsidP="00961FAA">
      <w:pPr>
        <w:spacing w:after="0" w:line="240" w:lineRule="auto"/>
        <w:ind w:left="576"/>
        <w:rPr>
          <w:rFonts w:ascii="Times New Roman" w:hAnsi="Times New Roman" w:cs="Times New Roman"/>
          <w:sz w:val="24"/>
          <w:szCs w:val="24"/>
        </w:rPr>
      </w:pPr>
      <w:r w:rsidRPr="009F3FFE">
        <w:rPr>
          <w:rFonts w:ascii="Times New Roman" w:hAnsi="Times New Roman" w:cs="Times New Roman"/>
          <w:sz w:val="24"/>
          <w:szCs w:val="24"/>
        </w:rPr>
        <w:t>In an influential article published in 1993, John Taylor described a rule for setting interest rates that he viewed as important both descriptively and prescriptively for the study of central bank behavior and the setting of monetary policy. Rates too high risked recession while rates too low risked inflation. More recently Taylor has suggested that low rates might also precipitate recession by generating asset price bubbles, and has criticized Federal Reserve policy between 2001 and 2004 and after 2008 on these grounds.  But the posited link between low rates and bubbles remains</w:t>
      </w:r>
      <w:r w:rsidR="005F3006">
        <w:rPr>
          <w:rFonts w:ascii="Times New Roman" w:hAnsi="Times New Roman" w:cs="Times New Roman"/>
          <w:sz w:val="24"/>
          <w:szCs w:val="24"/>
        </w:rPr>
        <w:t xml:space="preserve"> </w:t>
      </w:r>
      <w:r w:rsidRPr="009F3FFE">
        <w:rPr>
          <w:rFonts w:ascii="Times New Roman" w:hAnsi="Times New Roman" w:cs="Times New Roman"/>
          <w:sz w:val="24"/>
          <w:szCs w:val="24"/>
        </w:rPr>
        <w:t xml:space="preserve">controversial, and the proposition that interest rates are the best mechanism for deflating them far from settled.  This paper examines US macroeconomic history and policy in the 1920s, asking what a Taylor rule would have prescribed </w:t>
      </w:r>
      <w:r w:rsidR="003E3A94">
        <w:rPr>
          <w:rFonts w:ascii="Times New Roman" w:hAnsi="Times New Roman" w:cs="Times New Roman"/>
          <w:sz w:val="24"/>
          <w:szCs w:val="24"/>
        </w:rPr>
        <w:t xml:space="preserve">then and comparing </w:t>
      </w:r>
      <w:r w:rsidR="005F3006">
        <w:rPr>
          <w:rFonts w:ascii="Times New Roman" w:hAnsi="Times New Roman" w:cs="Times New Roman"/>
          <w:sz w:val="24"/>
          <w:szCs w:val="24"/>
        </w:rPr>
        <w:t xml:space="preserve">that </w:t>
      </w:r>
      <w:r w:rsidR="003E3A94">
        <w:rPr>
          <w:rFonts w:ascii="Times New Roman" w:hAnsi="Times New Roman" w:cs="Times New Roman"/>
          <w:sz w:val="24"/>
          <w:szCs w:val="24"/>
        </w:rPr>
        <w:t xml:space="preserve">with what </w:t>
      </w:r>
      <w:r w:rsidRPr="009F3FFE">
        <w:rPr>
          <w:rFonts w:ascii="Times New Roman" w:hAnsi="Times New Roman" w:cs="Times New Roman"/>
          <w:sz w:val="24"/>
          <w:szCs w:val="24"/>
        </w:rPr>
        <w:t xml:space="preserve">actually transpired.  The results of the study are not entirely unambiguous, but they do show that for most of the period a Taylor rule would have mandated a policy rate </w:t>
      </w:r>
      <w:r w:rsidRPr="009F3FFE">
        <w:rPr>
          <w:rFonts w:ascii="Times New Roman" w:hAnsi="Times New Roman" w:cs="Times New Roman"/>
          <w:i/>
          <w:sz w:val="24"/>
          <w:szCs w:val="24"/>
        </w:rPr>
        <w:t>lower</w:t>
      </w:r>
      <w:r w:rsidRPr="009F3FFE">
        <w:rPr>
          <w:rFonts w:ascii="Times New Roman" w:hAnsi="Times New Roman" w:cs="Times New Roman"/>
          <w:sz w:val="24"/>
          <w:szCs w:val="24"/>
        </w:rPr>
        <w:t xml:space="preserve"> than what was actually in effect</w:t>
      </w:r>
      <w:r w:rsidR="00422648">
        <w:rPr>
          <w:rFonts w:ascii="Times New Roman" w:hAnsi="Times New Roman" w:cs="Times New Roman"/>
          <w:sz w:val="24"/>
          <w:szCs w:val="24"/>
        </w:rPr>
        <w:t>, indeed often below zero</w:t>
      </w:r>
      <w:r w:rsidRPr="009F3FFE">
        <w:rPr>
          <w:rFonts w:ascii="Times New Roman" w:hAnsi="Times New Roman" w:cs="Times New Roman"/>
          <w:sz w:val="24"/>
          <w:szCs w:val="24"/>
        </w:rPr>
        <w:t xml:space="preserve">.   Yet rates generally above those prescribed did not, in the event, prevent a raging stock market bubble from developing in the second half of the decade. </w:t>
      </w:r>
      <w:r w:rsidR="005F15BF">
        <w:rPr>
          <w:rFonts w:ascii="Times New Roman" w:hAnsi="Times New Roman" w:cs="Times New Roman"/>
          <w:sz w:val="24"/>
          <w:szCs w:val="24"/>
        </w:rPr>
        <w:t xml:space="preserve">This finding adds to evidence from Britain </w:t>
      </w:r>
      <w:r w:rsidR="00173C63">
        <w:rPr>
          <w:rFonts w:ascii="Times New Roman" w:hAnsi="Times New Roman" w:cs="Times New Roman"/>
          <w:sz w:val="24"/>
          <w:szCs w:val="24"/>
        </w:rPr>
        <w:t xml:space="preserve">or New Zealand </w:t>
      </w:r>
      <w:r w:rsidR="005F15BF">
        <w:rPr>
          <w:rFonts w:ascii="Times New Roman" w:hAnsi="Times New Roman" w:cs="Times New Roman"/>
          <w:sz w:val="24"/>
          <w:szCs w:val="24"/>
        </w:rPr>
        <w:t>in the 2000s that asset bubbles can develop when policy rates are above those prescribed by a Taylor rule, as well as when they are below.</w:t>
      </w:r>
    </w:p>
    <w:p w14:paraId="7CC50DA8" w14:textId="0F425CF7" w:rsidR="00961FAA" w:rsidRDefault="00961FAA" w:rsidP="00961FAA">
      <w:pPr>
        <w:spacing w:after="0" w:line="240" w:lineRule="auto"/>
        <w:ind w:left="576"/>
        <w:rPr>
          <w:rFonts w:ascii="Times New Roman" w:hAnsi="Times New Roman" w:cs="Times New Roman"/>
          <w:sz w:val="24"/>
          <w:szCs w:val="24"/>
        </w:rPr>
      </w:pPr>
    </w:p>
    <w:p w14:paraId="7FF535B6" w14:textId="77777777" w:rsidR="00961FAA" w:rsidRDefault="00961FAA" w:rsidP="00961FAA">
      <w:pPr>
        <w:spacing w:after="0" w:line="240" w:lineRule="auto"/>
        <w:ind w:left="576"/>
        <w:rPr>
          <w:rFonts w:ascii="Times New Roman" w:hAnsi="Times New Roman" w:cs="Times New Roman"/>
          <w:sz w:val="24"/>
          <w:szCs w:val="24"/>
        </w:rPr>
      </w:pPr>
    </w:p>
    <w:p w14:paraId="6665ACCF" w14:textId="77777777" w:rsidR="009B2713" w:rsidRDefault="009B2713" w:rsidP="00FE4CE3">
      <w:pPr>
        <w:spacing w:after="0" w:line="240" w:lineRule="auto"/>
        <w:rPr>
          <w:rFonts w:ascii="Times New Roman" w:hAnsi="Times New Roman" w:cs="Times New Roman"/>
          <w:sz w:val="24"/>
          <w:szCs w:val="24"/>
        </w:rPr>
      </w:pPr>
    </w:p>
    <w:p w14:paraId="7F8F6737" w14:textId="08EAEFC7" w:rsidR="009B2713" w:rsidRPr="00961FAA" w:rsidRDefault="00434D7F" w:rsidP="00FE4C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2713" w:rsidRPr="00D21DED">
        <w:rPr>
          <w:rFonts w:ascii="Times New Roman" w:hAnsi="Times New Roman" w:cs="Times New Roman"/>
        </w:rPr>
        <w:t>*</w:t>
      </w:r>
      <w:r w:rsidR="00B649E5" w:rsidRPr="00961FAA">
        <w:rPr>
          <w:rFonts w:ascii="Times New Roman" w:hAnsi="Times New Roman" w:cs="Times New Roman"/>
          <w:sz w:val="24"/>
          <w:szCs w:val="24"/>
        </w:rPr>
        <w:t xml:space="preserve">This paper has benefited from participant comments </w:t>
      </w:r>
      <w:r w:rsidR="00660148">
        <w:rPr>
          <w:rFonts w:ascii="Times New Roman" w:hAnsi="Times New Roman" w:cs="Times New Roman"/>
          <w:sz w:val="24"/>
          <w:szCs w:val="24"/>
        </w:rPr>
        <w:t xml:space="preserve">at a seminar at UC </w:t>
      </w:r>
      <w:r w:rsidR="00287C11">
        <w:rPr>
          <w:rFonts w:ascii="Times New Roman" w:hAnsi="Times New Roman" w:cs="Times New Roman"/>
          <w:sz w:val="24"/>
          <w:szCs w:val="24"/>
        </w:rPr>
        <w:t xml:space="preserve">Berkeley on February 22, 2016, </w:t>
      </w:r>
      <w:r w:rsidR="001C7476">
        <w:rPr>
          <w:rFonts w:ascii="Times New Roman" w:hAnsi="Times New Roman" w:cs="Times New Roman"/>
          <w:sz w:val="24"/>
          <w:szCs w:val="24"/>
        </w:rPr>
        <w:t xml:space="preserve">and </w:t>
      </w:r>
      <w:r w:rsidR="00B649E5" w:rsidRPr="00961FAA">
        <w:rPr>
          <w:rFonts w:ascii="Times New Roman" w:hAnsi="Times New Roman" w:cs="Times New Roman"/>
          <w:sz w:val="24"/>
          <w:szCs w:val="24"/>
        </w:rPr>
        <w:t xml:space="preserve">in sessions at </w:t>
      </w:r>
      <w:r w:rsidR="005A5CD4" w:rsidRPr="00961FAA">
        <w:rPr>
          <w:rFonts w:ascii="Times New Roman" w:hAnsi="Times New Roman" w:cs="Times New Roman"/>
          <w:sz w:val="24"/>
          <w:szCs w:val="24"/>
        </w:rPr>
        <w:t>the ASSA meetings, San Francisco, California, January 3, 2016</w:t>
      </w:r>
      <w:r w:rsidR="001C7476">
        <w:rPr>
          <w:rFonts w:ascii="Times New Roman" w:hAnsi="Times New Roman" w:cs="Times New Roman"/>
          <w:sz w:val="24"/>
          <w:szCs w:val="24"/>
        </w:rPr>
        <w:t>,</w:t>
      </w:r>
      <w:r w:rsidR="00287C11">
        <w:rPr>
          <w:rFonts w:ascii="Times New Roman" w:hAnsi="Times New Roman" w:cs="Times New Roman"/>
          <w:sz w:val="24"/>
          <w:szCs w:val="24"/>
        </w:rPr>
        <w:t xml:space="preserve"> </w:t>
      </w:r>
      <w:r w:rsidR="00B649E5" w:rsidRPr="00961FAA">
        <w:rPr>
          <w:rFonts w:ascii="Times New Roman" w:hAnsi="Times New Roman" w:cs="Times New Roman"/>
          <w:sz w:val="24"/>
          <w:szCs w:val="24"/>
        </w:rPr>
        <w:t>the SSHA meetings in Baltimore, Maryland, November 13, 2015</w:t>
      </w:r>
      <w:r w:rsidR="001C7476">
        <w:rPr>
          <w:rFonts w:ascii="Times New Roman" w:hAnsi="Times New Roman" w:cs="Times New Roman"/>
          <w:sz w:val="24"/>
          <w:szCs w:val="24"/>
        </w:rPr>
        <w:t>, and Santa Clara, October 28, 2015.</w:t>
      </w:r>
      <w:r w:rsidR="00B649E5" w:rsidRPr="00961FAA">
        <w:rPr>
          <w:rFonts w:ascii="Times New Roman" w:hAnsi="Times New Roman" w:cs="Times New Roman"/>
          <w:sz w:val="24"/>
          <w:szCs w:val="24"/>
        </w:rPr>
        <w:t xml:space="preserve"> </w:t>
      </w:r>
      <w:r w:rsidR="00550606" w:rsidRPr="00961FAA">
        <w:rPr>
          <w:rFonts w:ascii="Times New Roman" w:hAnsi="Times New Roman" w:cs="Times New Roman"/>
          <w:sz w:val="24"/>
          <w:szCs w:val="24"/>
        </w:rPr>
        <w:t>Special thanks</w:t>
      </w:r>
      <w:r w:rsidR="00B649E5" w:rsidRPr="00961FAA">
        <w:rPr>
          <w:rFonts w:ascii="Times New Roman" w:hAnsi="Times New Roman" w:cs="Times New Roman"/>
          <w:sz w:val="24"/>
          <w:szCs w:val="24"/>
        </w:rPr>
        <w:t xml:space="preserve"> </w:t>
      </w:r>
      <w:r w:rsidR="009B2713" w:rsidRPr="00961FAA">
        <w:rPr>
          <w:rFonts w:ascii="Times New Roman" w:hAnsi="Times New Roman" w:cs="Times New Roman"/>
          <w:sz w:val="24"/>
          <w:szCs w:val="24"/>
        </w:rPr>
        <w:t xml:space="preserve">to </w:t>
      </w:r>
      <w:r w:rsidR="00660148">
        <w:rPr>
          <w:rFonts w:ascii="Times New Roman" w:hAnsi="Times New Roman" w:cs="Times New Roman"/>
          <w:sz w:val="24"/>
          <w:szCs w:val="24"/>
        </w:rPr>
        <w:t xml:space="preserve">Barry Eichengreen, </w:t>
      </w:r>
      <w:r w:rsidR="009B2713" w:rsidRPr="00961FAA">
        <w:rPr>
          <w:rFonts w:ascii="Times New Roman" w:hAnsi="Times New Roman" w:cs="Times New Roman"/>
          <w:sz w:val="24"/>
          <w:szCs w:val="24"/>
        </w:rPr>
        <w:t>Gabriel Mathy, Kris Mitchener</w:t>
      </w:r>
      <w:r w:rsidRPr="00961FAA">
        <w:rPr>
          <w:rFonts w:ascii="Times New Roman" w:hAnsi="Times New Roman" w:cs="Times New Roman"/>
          <w:sz w:val="24"/>
          <w:szCs w:val="24"/>
        </w:rPr>
        <w:t>,</w:t>
      </w:r>
      <w:r w:rsidR="00660148">
        <w:rPr>
          <w:rFonts w:ascii="Times New Roman" w:hAnsi="Times New Roman" w:cs="Times New Roman"/>
          <w:sz w:val="24"/>
          <w:szCs w:val="24"/>
        </w:rPr>
        <w:t xml:space="preserve"> </w:t>
      </w:r>
      <w:r w:rsidRPr="00961FAA">
        <w:rPr>
          <w:rFonts w:ascii="Times New Roman" w:hAnsi="Times New Roman" w:cs="Times New Roman"/>
          <w:sz w:val="24"/>
          <w:szCs w:val="24"/>
        </w:rPr>
        <w:t>Helen Popper</w:t>
      </w:r>
      <w:r w:rsidR="00660148">
        <w:rPr>
          <w:rFonts w:ascii="Times New Roman" w:hAnsi="Times New Roman" w:cs="Times New Roman"/>
          <w:sz w:val="24"/>
          <w:szCs w:val="24"/>
        </w:rPr>
        <w:t>, Christy Romer, and Tobias Rotheli</w:t>
      </w:r>
      <w:r w:rsidRPr="00961FAA">
        <w:rPr>
          <w:rFonts w:ascii="Times New Roman" w:hAnsi="Times New Roman" w:cs="Times New Roman"/>
          <w:sz w:val="24"/>
          <w:szCs w:val="24"/>
        </w:rPr>
        <w:t xml:space="preserve"> for comments on earlier</w:t>
      </w:r>
      <w:r w:rsidR="00DF4DAA" w:rsidRPr="00961FAA">
        <w:rPr>
          <w:rFonts w:ascii="Times New Roman" w:hAnsi="Times New Roman" w:cs="Times New Roman"/>
          <w:sz w:val="24"/>
          <w:szCs w:val="24"/>
        </w:rPr>
        <w:t xml:space="preserve"> versions.</w:t>
      </w:r>
    </w:p>
    <w:p w14:paraId="75ED74FE" w14:textId="7DA39945" w:rsidR="00E86943" w:rsidRDefault="00DF4DAA" w:rsidP="00FE4CE3">
      <w:pPr>
        <w:spacing w:line="480" w:lineRule="auto"/>
        <w:ind w:firstLine="576"/>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B2713">
        <w:rPr>
          <w:rFonts w:ascii="Times New Roman" w:hAnsi="Times New Roman" w:cs="Times New Roman"/>
          <w:b/>
          <w:sz w:val="24"/>
          <w:szCs w:val="24"/>
        </w:rPr>
        <w:t>T</w:t>
      </w:r>
      <w:r w:rsidR="0040208F" w:rsidRPr="009F3FFE">
        <w:rPr>
          <w:rFonts w:ascii="Times New Roman" w:hAnsi="Times New Roman" w:cs="Times New Roman"/>
          <w:b/>
          <w:sz w:val="24"/>
          <w:szCs w:val="24"/>
        </w:rPr>
        <w:t>he Taylor Rule in the 1920s</w:t>
      </w:r>
    </w:p>
    <w:p w14:paraId="78930E61" w14:textId="77777777" w:rsidR="009F3FFE" w:rsidRPr="009F3FFE" w:rsidRDefault="009F3FFE" w:rsidP="009F3FFE">
      <w:pPr>
        <w:spacing w:line="480" w:lineRule="auto"/>
        <w:ind w:firstLine="576"/>
        <w:jc w:val="center"/>
        <w:rPr>
          <w:rFonts w:ascii="Times New Roman" w:hAnsi="Times New Roman" w:cs="Times New Roman"/>
          <w:sz w:val="24"/>
          <w:szCs w:val="24"/>
        </w:rPr>
      </w:pPr>
    </w:p>
    <w:p w14:paraId="536BF5FF" w14:textId="77777777" w:rsidR="000F7679" w:rsidRDefault="001749C1" w:rsidP="009F3FF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In an influential article published in 1993</w:t>
      </w:r>
      <w:r w:rsidR="00E92720" w:rsidRPr="009F3FFE">
        <w:rPr>
          <w:rFonts w:ascii="Times New Roman" w:hAnsi="Times New Roman" w:cs="Times New Roman"/>
          <w:sz w:val="24"/>
          <w:szCs w:val="24"/>
        </w:rPr>
        <w:t>, John Taylor described</w:t>
      </w:r>
      <w:r w:rsidRPr="009F3FFE">
        <w:rPr>
          <w:rFonts w:ascii="Times New Roman" w:hAnsi="Times New Roman" w:cs="Times New Roman"/>
          <w:sz w:val="24"/>
          <w:szCs w:val="24"/>
        </w:rPr>
        <w:t xml:space="preserve"> a rule for setting interest rates that he viewed as important both descriptively and prescriptively </w:t>
      </w:r>
      <w:r w:rsidR="00E92720" w:rsidRPr="009F3FFE">
        <w:rPr>
          <w:rFonts w:ascii="Times New Roman" w:hAnsi="Times New Roman" w:cs="Times New Roman"/>
          <w:sz w:val="24"/>
          <w:szCs w:val="24"/>
        </w:rPr>
        <w:t>for the study of central bank</w:t>
      </w:r>
      <w:r w:rsidRPr="009F3FFE">
        <w:rPr>
          <w:rFonts w:ascii="Times New Roman" w:hAnsi="Times New Roman" w:cs="Times New Roman"/>
          <w:sz w:val="24"/>
          <w:szCs w:val="24"/>
        </w:rPr>
        <w:t xml:space="preserve"> behavior and the setting of monetary policy. Rates too high </w:t>
      </w:r>
      <w:r w:rsidR="009C33FA" w:rsidRPr="009F3FFE">
        <w:rPr>
          <w:rFonts w:ascii="Times New Roman" w:hAnsi="Times New Roman" w:cs="Times New Roman"/>
          <w:sz w:val="24"/>
          <w:szCs w:val="24"/>
        </w:rPr>
        <w:t>risked recession while</w:t>
      </w:r>
      <w:r w:rsidRPr="009F3FFE">
        <w:rPr>
          <w:rFonts w:ascii="Times New Roman" w:hAnsi="Times New Roman" w:cs="Times New Roman"/>
          <w:sz w:val="24"/>
          <w:szCs w:val="24"/>
        </w:rPr>
        <w:t xml:space="preserve"> rates too low risked inflation. </w:t>
      </w:r>
      <w:r w:rsidR="006A2537" w:rsidRPr="009F3FFE">
        <w:rPr>
          <w:rFonts w:ascii="Times New Roman" w:hAnsi="Times New Roman" w:cs="Times New Roman"/>
          <w:sz w:val="24"/>
          <w:szCs w:val="24"/>
        </w:rPr>
        <w:t xml:space="preserve">More recently Taylor </w:t>
      </w:r>
      <w:r w:rsidRPr="009F3FFE">
        <w:rPr>
          <w:rFonts w:ascii="Times New Roman" w:hAnsi="Times New Roman" w:cs="Times New Roman"/>
          <w:sz w:val="24"/>
          <w:szCs w:val="24"/>
        </w:rPr>
        <w:t xml:space="preserve">has suggested that low rates </w:t>
      </w:r>
      <w:r w:rsidR="006A2537" w:rsidRPr="009F3FFE">
        <w:rPr>
          <w:rFonts w:ascii="Times New Roman" w:hAnsi="Times New Roman" w:cs="Times New Roman"/>
          <w:sz w:val="24"/>
          <w:szCs w:val="24"/>
        </w:rPr>
        <w:t xml:space="preserve">might </w:t>
      </w:r>
      <w:r w:rsidRPr="009F3FFE">
        <w:rPr>
          <w:rFonts w:ascii="Times New Roman" w:hAnsi="Times New Roman" w:cs="Times New Roman"/>
          <w:sz w:val="24"/>
          <w:szCs w:val="24"/>
        </w:rPr>
        <w:t>also precipitate recession by generating asset price bubbles, and has criticized Fed</w:t>
      </w:r>
      <w:r w:rsidR="00E92720" w:rsidRPr="009F3FFE">
        <w:rPr>
          <w:rFonts w:ascii="Times New Roman" w:hAnsi="Times New Roman" w:cs="Times New Roman"/>
          <w:sz w:val="24"/>
          <w:szCs w:val="24"/>
        </w:rPr>
        <w:t>eral Reserve</w:t>
      </w:r>
      <w:r w:rsidRPr="009F3FFE">
        <w:rPr>
          <w:rFonts w:ascii="Times New Roman" w:hAnsi="Times New Roman" w:cs="Times New Roman"/>
          <w:sz w:val="24"/>
          <w:szCs w:val="24"/>
        </w:rPr>
        <w:t xml:space="preserve"> policy between 2001 and 2004 and after 2008 on these grounds.  Thi</w:t>
      </w:r>
      <w:r w:rsidR="00E92720" w:rsidRPr="009F3FFE">
        <w:rPr>
          <w:rFonts w:ascii="Times New Roman" w:hAnsi="Times New Roman" w:cs="Times New Roman"/>
          <w:sz w:val="24"/>
          <w:szCs w:val="24"/>
        </w:rPr>
        <w:t>s paper examines</w:t>
      </w:r>
      <w:r w:rsidRPr="009F3FFE">
        <w:rPr>
          <w:rFonts w:ascii="Times New Roman" w:hAnsi="Times New Roman" w:cs="Times New Roman"/>
          <w:sz w:val="24"/>
          <w:szCs w:val="24"/>
        </w:rPr>
        <w:t xml:space="preserve"> US macroeconomic </w:t>
      </w:r>
      <w:r w:rsidR="006A2537" w:rsidRPr="009F3FFE">
        <w:rPr>
          <w:rFonts w:ascii="Times New Roman" w:hAnsi="Times New Roman" w:cs="Times New Roman"/>
          <w:sz w:val="24"/>
          <w:szCs w:val="24"/>
        </w:rPr>
        <w:t xml:space="preserve">history and policy in the 1920s, asking what a Taylor rule would have prescribed then and comparing it with </w:t>
      </w:r>
      <w:r w:rsidR="00A274FD" w:rsidRPr="009F3FFE">
        <w:rPr>
          <w:rFonts w:ascii="Times New Roman" w:hAnsi="Times New Roman" w:cs="Times New Roman"/>
          <w:sz w:val="24"/>
          <w:szCs w:val="24"/>
        </w:rPr>
        <w:t xml:space="preserve">what </w:t>
      </w:r>
      <w:r w:rsidR="006A2537" w:rsidRPr="009F3FFE">
        <w:rPr>
          <w:rFonts w:ascii="Times New Roman" w:hAnsi="Times New Roman" w:cs="Times New Roman"/>
          <w:sz w:val="24"/>
          <w:szCs w:val="24"/>
        </w:rPr>
        <w:t>actually transpired.</w:t>
      </w:r>
      <w:r w:rsidR="00A274FD" w:rsidRPr="009F3FFE">
        <w:rPr>
          <w:rFonts w:ascii="Times New Roman" w:hAnsi="Times New Roman" w:cs="Times New Roman"/>
          <w:sz w:val="24"/>
          <w:szCs w:val="24"/>
        </w:rPr>
        <w:t xml:space="preserve">  </w:t>
      </w:r>
    </w:p>
    <w:p w14:paraId="4EE185D0" w14:textId="153515D9" w:rsidR="00476306" w:rsidRPr="00A50FD4" w:rsidRDefault="005802E6" w:rsidP="00F07236">
      <w:pPr>
        <w:spacing w:line="480" w:lineRule="auto"/>
        <w:ind w:firstLine="576"/>
        <w:rPr>
          <w:rFonts w:ascii="Times New Roman" w:eastAsia="Times New Roman" w:hAnsi="Times New Roman" w:cs="Times New Roman"/>
          <w:bCs/>
          <w:sz w:val="24"/>
          <w:szCs w:val="24"/>
        </w:rPr>
      </w:pPr>
      <w:r>
        <w:rPr>
          <w:rFonts w:ascii="Times New Roman" w:hAnsi="Times New Roman" w:cs="Times New Roman"/>
          <w:sz w:val="24"/>
          <w:szCs w:val="24"/>
        </w:rPr>
        <w:t>This paper</w:t>
      </w:r>
      <w:r w:rsidR="00F07236">
        <w:rPr>
          <w:rFonts w:ascii="Times New Roman" w:hAnsi="Times New Roman" w:cs="Times New Roman"/>
          <w:sz w:val="24"/>
          <w:szCs w:val="24"/>
        </w:rPr>
        <w:t xml:space="preserve"> represents </w:t>
      </w:r>
      <w:r>
        <w:rPr>
          <w:rFonts w:ascii="Times New Roman" w:hAnsi="Times New Roman" w:cs="Times New Roman"/>
          <w:sz w:val="24"/>
          <w:szCs w:val="24"/>
        </w:rPr>
        <w:t xml:space="preserve">in a sense </w:t>
      </w:r>
      <w:r w:rsidR="00F07236">
        <w:rPr>
          <w:rFonts w:ascii="Times New Roman" w:hAnsi="Times New Roman" w:cs="Times New Roman"/>
          <w:sz w:val="24"/>
          <w:szCs w:val="24"/>
        </w:rPr>
        <w:t>an extension of a project ad</w:t>
      </w:r>
      <w:r w:rsidR="000F7679">
        <w:rPr>
          <w:rFonts w:ascii="Times New Roman" w:hAnsi="Times New Roman" w:cs="Times New Roman"/>
          <w:sz w:val="24"/>
          <w:szCs w:val="24"/>
        </w:rPr>
        <w:t xml:space="preserve">umbrated in Orphanides (2003). </w:t>
      </w:r>
      <w:r w:rsidR="00DA1076">
        <w:rPr>
          <w:rFonts w:ascii="Times New Roman" w:hAnsi="Times New Roman" w:cs="Times New Roman"/>
          <w:sz w:val="24"/>
          <w:szCs w:val="24"/>
        </w:rPr>
        <w:t xml:space="preserve">That paper provided </w:t>
      </w:r>
      <w:r>
        <w:rPr>
          <w:rFonts w:ascii="Times New Roman" w:hAnsi="Times New Roman" w:cs="Times New Roman"/>
          <w:sz w:val="24"/>
          <w:szCs w:val="24"/>
        </w:rPr>
        <w:t xml:space="preserve">detailed empirical analysis of the period following the 1951 Treasury </w:t>
      </w:r>
      <w:r w:rsidRPr="00857B21">
        <w:rPr>
          <w:rFonts w:ascii="Times New Roman" w:hAnsi="Times New Roman" w:cs="Times New Roman"/>
          <w:sz w:val="24"/>
          <w:szCs w:val="24"/>
        </w:rPr>
        <w:t>Accord</w:t>
      </w:r>
      <w:r w:rsidR="00360717">
        <w:rPr>
          <w:rFonts w:ascii="Times New Roman" w:hAnsi="Times New Roman" w:cs="Times New Roman"/>
          <w:sz w:val="24"/>
          <w:szCs w:val="24"/>
        </w:rPr>
        <w:t>, arguing that policy closely followed the principles of the Taylor rule decades before its formulation.</w:t>
      </w:r>
      <w:r w:rsidR="00FA3F66">
        <w:rPr>
          <w:rStyle w:val="FootnoteReference"/>
          <w:rFonts w:ascii="Times New Roman" w:hAnsi="Times New Roman" w:cs="Times New Roman"/>
          <w:sz w:val="24"/>
          <w:szCs w:val="24"/>
        </w:rPr>
        <w:footnoteReference w:id="1"/>
      </w:r>
      <w:r w:rsidR="00DA1076">
        <w:rPr>
          <w:rFonts w:ascii="Times New Roman" w:hAnsi="Times New Roman" w:cs="Times New Roman"/>
          <w:sz w:val="24"/>
          <w:szCs w:val="24"/>
        </w:rPr>
        <w:t xml:space="preserve">  </w:t>
      </w:r>
      <w:r w:rsidR="00360717">
        <w:rPr>
          <w:rFonts w:ascii="Times New Roman" w:eastAsia="Times New Roman" w:hAnsi="Times New Roman" w:cs="Times New Roman"/>
          <w:bCs/>
          <w:sz w:val="24"/>
          <w:szCs w:val="24"/>
        </w:rPr>
        <w:t xml:space="preserve"> Orphanides</w:t>
      </w:r>
      <w:r w:rsidR="00DA1076">
        <w:rPr>
          <w:rFonts w:ascii="Times New Roman" w:eastAsia="Times New Roman" w:hAnsi="Times New Roman" w:cs="Times New Roman"/>
          <w:bCs/>
          <w:sz w:val="24"/>
          <w:szCs w:val="24"/>
        </w:rPr>
        <w:t xml:space="preserve"> </w:t>
      </w:r>
      <w:r w:rsidR="00913FC7">
        <w:rPr>
          <w:rFonts w:ascii="Times New Roman" w:eastAsia="Times New Roman" w:hAnsi="Times New Roman" w:cs="Times New Roman"/>
          <w:bCs/>
          <w:sz w:val="24"/>
          <w:szCs w:val="24"/>
        </w:rPr>
        <w:t xml:space="preserve">also discussed the </w:t>
      </w:r>
      <w:r w:rsidR="00F07236" w:rsidRPr="00A50FD4">
        <w:rPr>
          <w:rFonts w:ascii="Times New Roman" w:eastAsia="Times New Roman" w:hAnsi="Times New Roman" w:cs="Times New Roman"/>
          <w:bCs/>
          <w:sz w:val="24"/>
          <w:szCs w:val="24"/>
        </w:rPr>
        <w:t>1920s</w:t>
      </w:r>
      <w:r w:rsidR="00913FC7">
        <w:rPr>
          <w:rFonts w:ascii="Times New Roman" w:eastAsia="Times New Roman" w:hAnsi="Times New Roman" w:cs="Times New Roman"/>
          <w:bCs/>
          <w:sz w:val="24"/>
          <w:szCs w:val="24"/>
        </w:rPr>
        <w:t>, but his treatment</w:t>
      </w:r>
      <w:r w:rsidRPr="00A50FD4">
        <w:rPr>
          <w:rFonts w:ascii="Times New Roman" w:eastAsia="Times New Roman" w:hAnsi="Times New Roman" w:cs="Times New Roman"/>
          <w:bCs/>
          <w:sz w:val="24"/>
          <w:szCs w:val="24"/>
        </w:rPr>
        <w:t xml:space="preserve"> was</w:t>
      </w:r>
      <w:r w:rsidR="00F07236" w:rsidRPr="00A50FD4">
        <w:rPr>
          <w:rFonts w:ascii="Times New Roman" w:eastAsia="Times New Roman" w:hAnsi="Times New Roman" w:cs="Times New Roman"/>
          <w:bCs/>
          <w:sz w:val="24"/>
          <w:szCs w:val="24"/>
        </w:rPr>
        <w:t xml:space="preserve"> largely descriptive and qualitative, </w:t>
      </w:r>
      <w:r w:rsidR="000F7679" w:rsidRPr="00A50FD4">
        <w:rPr>
          <w:rFonts w:ascii="Times New Roman" w:eastAsia="Times New Roman" w:hAnsi="Times New Roman" w:cs="Times New Roman"/>
          <w:bCs/>
          <w:sz w:val="24"/>
          <w:szCs w:val="24"/>
        </w:rPr>
        <w:t xml:space="preserve">aimed basically at </w:t>
      </w:r>
      <w:r w:rsidR="00F07236" w:rsidRPr="00A50FD4">
        <w:rPr>
          <w:rFonts w:ascii="Times New Roman" w:eastAsia="Times New Roman" w:hAnsi="Times New Roman" w:cs="Times New Roman"/>
          <w:bCs/>
          <w:sz w:val="24"/>
          <w:szCs w:val="24"/>
        </w:rPr>
        <w:t>show</w:t>
      </w:r>
      <w:r w:rsidR="000F7679" w:rsidRPr="00A50FD4">
        <w:rPr>
          <w:rFonts w:ascii="Times New Roman" w:eastAsia="Times New Roman" w:hAnsi="Times New Roman" w:cs="Times New Roman"/>
          <w:bCs/>
          <w:sz w:val="24"/>
          <w:szCs w:val="24"/>
        </w:rPr>
        <w:t>ing</w:t>
      </w:r>
      <w:r w:rsidR="00F07236" w:rsidRPr="00A50FD4">
        <w:rPr>
          <w:rFonts w:ascii="Times New Roman" w:eastAsia="Times New Roman" w:hAnsi="Times New Roman" w:cs="Times New Roman"/>
          <w:bCs/>
          <w:sz w:val="24"/>
          <w:szCs w:val="24"/>
        </w:rPr>
        <w:t xml:space="preserve"> that policy even prior to the depression was guided by the twin mandates of stable inflation and maximum employment reflected both in the Employment Act of 1946 and in Tay</w:t>
      </w:r>
      <w:r w:rsidR="000F7679" w:rsidRPr="00A50FD4">
        <w:rPr>
          <w:rFonts w:ascii="Times New Roman" w:eastAsia="Times New Roman" w:hAnsi="Times New Roman" w:cs="Times New Roman"/>
          <w:bCs/>
          <w:sz w:val="24"/>
          <w:szCs w:val="24"/>
        </w:rPr>
        <w:t xml:space="preserve">lor's 1993 formulation of </w:t>
      </w:r>
      <w:r w:rsidRPr="00A50FD4">
        <w:rPr>
          <w:rFonts w:ascii="Times New Roman" w:eastAsia="Times New Roman" w:hAnsi="Times New Roman" w:cs="Times New Roman"/>
          <w:bCs/>
          <w:sz w:val="24"/>
          <w:szCs w:val="24"/>
        </w:rPr>
        <w:t>his rule. Although Orphanides’ final fi</w:t>
      </w:r>
      <w:r w:rsidR="000F7679" w:rsidRPr="00A50FD4">
        <w:rPr>
          <w:rFonts w:ascii="Times New Roman" w:eastAsia="Times New Roman" w:hAnsi="Times New Roman" w:cs="Times New Roman"/>
          <w:bCs/>
          <w:sz w:val="24"/>
          <w:szCs w:val="24"/>
        </w:rPr>
        <w:t>gure</w:t>
      </w:r>
      <w:r w:rsidR="00F07236" w:rsidRPr="00A50FD4">
        <w:rPr>
          <w:rFonts w:ascii="Times New Roman" w:eastAsia="Times New Roman" w:hAnsi="Times New Roman" w:cs="Times New Roman"/>
          <w:bCs/>
          <w:sz w:val="24"/>
          <w:szCs w:val="24"/>
        </w:rPr>
        <w:t xml:space="preserve"> included basic data </w:t>
      </w:r>
      <w:r w:rsidR="005F3006" w:rsidRPr="00A50FD4">
        <w:rPr>
          <w:rFonts w:ascii="Times New Roman" w:eastAsia="Times New Roman" w:hAnsi="Times New Roman" w:cs="Times New Roman"/>
          <w:bCs/>
          <w:sz w:val="24"/>
          <w:szCs w:val="24"/>
        </w:rPr>
        <w:t xml:space="preserve">for </w:t>
      </w:r>
      <w:r w:rsidR="00F07236" w:rsidRPr="00A50FD4">
        <w:rPr>
          <w:rFonts w:ascii="Times New Roman" w:eastAsia="Times New Roman" w:hAnsi="Times New Roman" w:cs="Times New Roman"/>
          <w:bCs/>
          <w:sz w:val="24"/>
          <w:szCs w:val="24"/>
        </w:rPr>
        <w:t xml:space="preserve">the 1919-29 period, there was no serious </w:t>
      </w:r>
      <w:r w:rsidR="000F7679" w:rsidRPr="00A50FD4">
        <w:rPr>
          <w:rFonts w:ascii="Times New Roman" w:eastAsia="Times New Roman" w:hAnsi="Times New Roman" w:cs="Times New Roman"/>
          <w:bCs/>
          <w:sz w:val="24"/>
          <w:szCs w:val="24"/>
        </w:rPr>
        <w:t>attempt to calculate an</w:t>
      </w:r>
      <w:r w:rsidR="00F07236" w:rsidRPr="00A50FD4">
        <w:rPr>
          <w:rFonts w:ascii="Times New Roman" w:eastAsia="Times New Roman" w:hAnsi="Times New Roman" w:cs="Times New Roman"/>
          <w:bCs/>
          <w:sz w:val="24"/>
          <w:szCs w:val="24"/>
        </w:rPr>
        <w:t xml:space="preserve"> output gap, and no attempt to compare what a Taylor rule would have mandated with the actual course of the </w:t>
      </w:r>
      <w:r w:rsidR="009B2713">
        <w:rPr>
          <w:rFonts w:ascii="Times New Roman" w:eastAsia="Times New Roman" w:hAnsi="Times New Roman" w:cs="Times New Roman"/>
          <w:bCs/>
          <w:sz w:val="24"/>
          <w:szCs w:val="24"/>
        </w:rPr>
        <w:t>policy</w:t>
      </w:r>
      <w:r w:rsidR="00F07236" w:rsidRPr="00A50FD4">
        <w:rPr>
          <w:rFonts w:ascii="Times New Roman" w:eastAsia="Times New Roman" w:hAnsi="Times New Roman" w:cs="Times New Roman"/>
          <w:bCs/>
          <w:sz w:val="24"/>
          <w:szCs w:val="24"/>
        </w:rPr>
        <w:t xml:space="preserve"> rate.  </w:t>
      </w:r>
    </w:p>
    <w:p w14:paraId="4D5936F6" w14:textId="59F1FC16" w:rsidR="0079102C" w:rsidRDefault="00DA1076" w:rsidP="00F07236">
      <w:pPr>
        <w:spacing w:line="480" w:lineRule="auto"/>
        <w:ind w:firstLine="576"/>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This paper aims to do both.</w:t>
      </w:r>
      <w:r w:rsidR="00C125FD" w:rsidRPr="00A50FD4">
        <w:rPr>
          <w:rFonts w:ascii="Times New Roman" w:eastAsia="Times New Roman" w:hAnsi="Times New Roman" w:cs="Times New Roman"/>
          <w:bCs/>
          <w:sz w:val="24"/>
          <w:szCs w:val="24"/>
        </w:rPr>
        <w:t xml:space="preserve"> </w:t>
      </w:r>
      <w:r w:rsidR="00661E64">
        <w:rPr>
          <w:rFonts w:ascii="Times New Roman" w:eastAsia="Times New Roman" w:hAnsi="Times New Roman" w:cs="Times New Roman"/>
          <w:bCs/>
          <w:sz w:val="24"/>
          <w:szCs w:val="24"/>
        </w:rPr>
        <w:t>T</w:t>
      </w:r>
      <w:r w:rsidR="005F15BF" w:rsidRPr="00A50FD4">
        <w:rPr>
          <w:rFonts w:ascii="Times New Roman" w:eastAsia="Times New Roman" w:hAnsi="Times New Roman" w:cs="Times New Roman"/>
          <w:bCs/>
          <w:sz w:val="24"/>
          <w:szCs w:val="24"/>
        </w:rPr>
        <w:t>he</w:t>
      </w:r>
      <w:r w:rsidR="005F3006" w:rsidRPr="00A50FD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possible </w:t>
      </w:r>
      <w:r w:rsidR="005F15BF" w:rsidRPr="00A50FD4">
        <w:rPr>
          <w:rFonts w:ascii="Times New Roman" w:eastAsia="Times New Roman" w:hAnsi="Times New Roman" w:cs="Times New Roman"/>
          <w:bCs/>
          <w:sz w:val="24"/>
          <w:szCs w:val="24"/>
        </w:rPr>
        <w:t xml:space="preserve">role of monetary policy in the 1920s in </w:t>
      </w:r>
      <w:r w:rsidR="005F3006" w:rsidRPr="00A50FD4">
        <w:rPr>
          <w:rFonts w:ascii="Times New Roman" w:eastAsia="Times New Roman" w:hAnsi="Times New Roman" w:cs="Times New Roman"/>
          <w:bCs/>
          <w:sz w:val="24"/>
          <w:szCs w:val="24"/>
        </w:rPr>
        <w:t>precipitating</w:t>
      </w:r>
      <w:r w:rsidR="005F15BF" w:rsidRPr="00A50FD4">
        <w:rPr>
          <w:rFonts w:ascii="Times New Roman" w:eastAsia="Times New Roman" w:hAnsi="Times New Roman" w:cs="Times New Roman"/>
          <w:bCs/>
          <w:sz w:val="24"/>
          <w:szCs w:val="24"/>
        </w:rPr>
        <w:t xml:space="preserve"> </w:t>
      </w:r>
      <w:r w:rsidR="00476306" w:rsidRPr="00A50FD4">
        <w:rPr>
          <w:rFonts w:ascii="Times New Roman" w:eastAsia="Times New Roman" w:hAnsi="Times New Roman" w:cs="Times New Roman"/>
          <w:bCs/>
          <w:sz w:val="24"/>
          <w:szCs w:val="24"/>
        </w:rPr>
        <w:t xml:space="preserve">financial crisis and </w:t>
      </w:r>
      <w:r>
        <w:rPr>
          <w:rFonts w:ascii="Times New Roman" w:eastAsia="Times New Roman" w:hAnsi="Times New Roman" w:cs="Times New Roman"/>
          <w:bCs/>
          <w:sz w:val="24"/>
          <w:szCs w:val="24"/>
        </w:rPr>
        <w:t>subsequent</w:t>
      </w:r>
      <w:r w:rsidR="005F15BF" w:rsidRPr="00A50FD4">
        <w:rPr>
          <w:rFonts w:ascii="Times New Roman" w:eastAsia="Times New Roman" w:hAnsi="Times New Roman" w:cs="Times New Roman"/>
          <w:bCs/>
          <w:sz w:val="24"/>
          <w:szCs w:val="24"/>
        </w:rPr>
        <w:t xml:space="preserve"> output loss during the 1930s</w:t>
      </w:r>
      <w:r w:rsidR="00661E64">
        <w:rPr>
          <w:rFonts w:ascii="Times New Roman" w:eastAsia="Times New Roman" w:hAnsi="Times New Roman" w:cs="Times New Roman"/>
          <w:bCs/>
          <w:sz w:val="24"/>
          <w:szCs w:val="24"/>
        </w:rPr>
        <w:t xml:space="preserve"> remains an area of active inquiry</w:t>
      </w:r>
      <w:r w:rsidR="005F15BF" w:rsidRPr="00A50FD4">
        <w:rPr>
          <w:rFonts w:ascii="Times New Roman" w:eastAsia="Times New Roman" w:hAnsi="Times New Roman" w:cs="Times New Roman"/>
          <w:bCs/>
          <w:sz w:val="24"/>
          <w:szCs w:val="24"/>
        </w:rPr>
        <w:t xml:space="preserve">.  </w:t>
      </w:r>
      <w:r w:rsidR="00434D7F">
        <w:rPr>
          <w:rFonts w:ascii="Times New Roman" w:eastAsia="Times New Roman" w:hAnsi="Times New Roman" w:cs="Times New Roman"/>
          <w:bCs/>
          <w:sz w:val="24"/>
          <w:szCs w:val="24"/>
        </w:rPr>
        <w:t xml:space="preserve">During </w:t>
      </w:r>
      <w:r w:rsidR="0065490B">
        <w:rPr>
          <w:rFonts w:ascii="Times New Roman" w:eastAsia="Times New Roman" w:hAnsi="Times New Roman" w:cs="Times New Roman"/>
          <w:bCs/>
          <w:sz w:val="24"/>
          <w:szCs w:val="24"/>
        </w:rPr>
        <w:t xml:space="preserve">and immediately after </w:t>
      </w:r>
      <w:r w:rsidR="00434D7F">
        <w:rPr>
          <w:rFonts w:ascii="Times New Roman" w:eastAsia="Times New Roman" w:hAnsi="Times New Roman" w:cs="Times New Roman"/>
          <w:bCs/>
          <w:sz w:val="24"/>
          <w:szCs w:val="24"/>
        </w:rPr>
        <w:t>the US involvement in the First World War</w:t>
      </w:r>
      <w:r w:rsidR="0079102C">
        <w:rPr>
          <w:rFonts w:ascii="Times New Roman" w:eastAsia="Times New Roman" w:hAnsi="Times New Roman" w:cs="Times New Roman"/>
          <w:bCs/>
          <w:sz w:val="24"/>
          <w:szCs w:val="24"/>
        </w:rPr>
        <w:t xml:space="preserve"> (1917-18)</w:t>
      </w:r>
      <w:r w:rsidR="00434D7F">
        <w:rPr>
          <w:rFonts w:ascii="Times New Roman" w:eastAsia="Times New Roman" w:hAnsi="Times New Roman" w:cs="Times New Roman"/>
          <w:bCs/>
          <w:sz w:val="24"/>
          <w:szCs w:val="24"/>
        </w:rPr>
        <w:t xml:space="preserve">, the </w:t>
      </w:r>
      <w:r w:rsidR="0079102C">
        <w:rPr>
          <w:rFonts w:ascii="Times New Roman" w:eastAsia="Times New Roman" w:hAnsi="Times New Roman" w:cs="Times New Roman"/>
          <w:bCs/>
          <w:sz w:val="24"/>
          <w:szCs w:val="24"/>
        </w:rPr>
        <w:t xml:space="preserve">newly established </w:t>
      </w:r>
      <w:r w:rsidR="00434D7F">
        <w:rPr>
          <w:rFonts w:ascii="Times New Roman" w:eastAsia="Times New Roman" w:hAnsi="Times New Roman" w:cs="Times New Roman"/>
          <w:bCs/>
          <w:sz w:val="24"/>
          <w:szCs w:val="24"/>
        </w:rPr>
        <w:t>Fed was largely subservient to the Treasury, concerned, as i</w:t>
      </w:r>
      <w:r w:rsidR="00197E2D">
        <w:rPr>
          <w:rFonts w:ascii="Times New Roman" w:eastAsia="Times New Roman" w:hAnsi="Times New Roman" w:cs="Times New Roman"/>
          <w:bCs/>
          <w:sz w:val="24"/>
          <w:szCs w:val="24"/>
        </w:rPr>
        <w:t>t would be in</w:t>
      </w:r>
      <w:r w:rsidR="00434D7F">
        <w:rPr>
          <w:rFonts w:ascii="Times New Roman" w:eastAsia="Times New Roman" w:hAnsi="Times New Roman" w:cs="Times New Roman"/>
          <w:bCs/>
          <w:sz w:val="24"/>
          <w:szCs w:val="24"/>
        </w:rPr>
        <w:t xml:space="preserve"> World War II, with minimizing the interest costs of a rising Federal debt. </w:t>
      </w:r>
      <w:r w:rsidR="00173C63">
        <w:rPr>
          <w:rFonts w:ascii="Times New Roman" w:eastAsia="Times New Roman" w:hAnsi="Times New Roman" w:cs="Times New Roman"/>
          <w:bCs/>
          <w:sz w:val="24"/>
          <w:szCs w:val="24"/>
        </w:rPr>
        <w:t>D</w:t>
      </w:r>
      <w:r w:rsidR="0079102C">
        <w:rPr>
          <w:rFonts w:ascii="Times New Roman" w:eastAsia="Times New Roman" w:hAnsi="Times New Roman" w:cs="Times New Roman"/>
          <w:bCs/>
          <w:sz w:val="24"/>
          <w:szCs w:val="24"/>
        </w:rPr>
        <w:t>uring the 1920s the Fed</w:t>
      </w:r>
      <w:r w:rsidR="00434D7F">
        <w:rPr>
          <w:rFonts w:ascii="Times New Roman" w:eastAsia="Times New Roman" w:hAnsi="Times New Roman" w:cs="Times New Roman"/>
          <w:bCs/>
          <w:sz w:val="24"/>
          <w:szCs w:val="24"/>
        </w:rPr>
        <w:t xml:space="preserve"> operated within the constraints imposed by the g</w:t>
      </w:r>
      <w:r w:rsidR="009B2713">
        <w:rPr>
          <w:rFonts w:ascii="Times New Roman" w:eastAsia="Times New Roman" w:hAnsi="Times New Roman" w:cs="Times New Roman"/>
          <w:bCs/>
          <w:sz w:val="24"/>
          <w:szCs w:val="24"/>
        </w:rPr>
        <w:t>old exchange standard</w:t>
      </w:r>
      <w:r w:rsidR="00434D7F">
        <w:rPr>
          <w:rFonts w:ascii="Times New Roman" w:eastAsia="Times New Roman" w:hAnsi="Times New Roman" w:cs="Times New Roman"/>
          <w:bCs/>
          <w:sz w:val="24"/>
          <w:szCs w:val="24"/>
        </w:rPr>
        <w:t xml:space="preserve">.  But as the central bank </w:t>
      </w:r>
      <w:r w:rsidR="00197E2D">
        <w:rPr>
          <w:rFonts w:ascii="Times New Roman" w:eastAsia="Times New Roman" w:hAnsi="Times New Roman" w:cs="Times New Roman"/>
          <w:bCs/>
          <w:sz w:val="24"/>
          <w:szCs w:val="24"/>
        </w:rPr>
        <w:t>for an economy with a</w:t>
      </w:r>
      <w:r w:rsidR="009B2713">
        <w:rPr>
          <w:rFonts w:ascii="Times New Roman" w:eastAsia="Times New Roman" w:hAnsi="Times New Roman" w:cs="Times New Roman"/>
          <w:bCs/>
          <w:sz w:val="24"/>
          <w:szCs w:val="24"/>
        </w:rPr>
        <w:t xml:space="preserve"> large </w:t>
      </w:r>
      <w:r w:rsidR="00197E2D">
        <w:rPr>
          <w:rFonts w:ascii="Times New Roman" w:eastAsia="Times New Roman" w:hAnsi="Times New Roman" w:cs="Times New Roman"/>
          <w:bCs/>
          <w:sz w:val="24"/>
          <w:szCs w:val="24"/>
        </w:rPr>
        <w:t xml:space="preserve">and </w:t>
      </w:r>
      <w:r w:rsidR="00434D7F">
        <w:rPr>
          <w:rFonts w:ascii="Times New Roman" w:eastAsia="Times New Roman" w:hAnsi="Times New Roman" w:cs="Times New Roman"/>
          <w:bCs/>
          <w:sz w:val="24"/>
          <w:szCs w:val="24"/>
        </w:rPr>
        <w:t xml:space="preserve">growing </w:t>
      </w:r>
      <w:r w:rsidR="00197E2D">
        <w:rPr>
          <w:rFonts w:ascii="Times New Roman" w:eastAsia="Times New Roman" w:hAnsi="Times New Roman" w:cs="Times New Roman"/>
          <w:bCs/>
          <w:sz w:val="24"/>
          <w:szCs w:val="24"/>
        </w:rPr>
        <w:t xml:space="preserve">share of world output, </w:t>
      </w:r>
      <w:r w:rsidR="00434D7F">
        <w:rPr>
          <w:rFonts w:ascii="Times New Roman" w:eastAsia="Times New Roman" w:hAnsi="Times New Roman" w:cs="Times New Roman"/>
          <w:bCs/>
          <w:sz w:val="24"/>
          <w:szCs w:val="24"/>
        </w:rPr>
        <w:t xml:space="preserve">it </w:t>
      </w:r>
      <w:r w:rsidR="00197E2D">
        <w:rPr>
          <w:rFonts w:ascii="Times New Roman" w:eastAsia="Times New Roman" w:hAnsi="Times New Roman" w:cs="Times New Roman"/>
          <w:bCs/>
          <w:sz w:val="24"/>
          <w:szCs w:val="24"/>
        </w:rPr>
        <w:t>had</w:t>
      </w:r>
      <w:r w:rsidR="00434D7F">
        <w:rPr>
          <w:rFonts w:ascii="Times New Roman" w:eastAsia="Times New Roman" w:hAnsi="Times New Roman" w:cs="Times New Roman"/>
          <w:bCs/>
          <w:sz w:val="24"/>
          <w:szCs w:val="24"/>
        </w:rPr>
        <w:t xml:space="preserve"> considerable </w:t>
      </w:r>
      <w:r w:rsidR="0079102C">
        <w:rPr>
          <w:rFonts w:ascii="Times New Roman" w:eastAsia="Times New Roman" w:hAnsi="Times New Roman" w:cs="Times New Roman"/>
          <w:bCs/>
          <w:sz w:val="24"/>
          <w:szCs w:val="24"/>
        </w:rPr>
        <w:t xml:space="preserve">autonomy in influencing </w:t>
      </w:r>
      <w:r w:rsidR="009B2713">
        <w:rPr>
          <w:rFonts w:ascii="Times New Roman" w:eastAsia="Times New Roman" w:hAnsi="Times New Roman" w:cs="Times New Roman"/>
          <w:bCs/>
          <w:sz w:val="24"/>
          <w:szCs w:val="24"/>
        </w:rPr>
        <w:t xml:space="preserve">interest </w:t>
      </w:r>
      <w:r w:rsidR="00434D7F">
        <w:rPr>
          <w:rFonts w:ascii="Times New Roman" w:eastAsia="Times New Roman" w:hAnsi="Times New Roman" w:cs="Times New Roman"/>
          <w:bCs/>
          <w:sz w:val="24"/>
          <w:szCs w:val="24"/>
        </w:rPr>
        <w:t>rates</w:t>
      </w:r>
      <w:r w:rsidR="00197E2D">
        <w:rPr>
          <w:rFonts w:ascii="Times New Roman" w:eastAsia="Times New Roman" w:hAnsi="Times New Roman" w:cs="Times New Roman"/>
          <w:bCs/>
          <w:sz w:val="24"/>
          <w:szCs w:val="24"/>
        </w:rPr>
        <w:t xml:space="preserve"> </w:t>
      </w:r>
      <w:r w:rsidR="00550606">
        <w:rPr>
          <w:rFonts w:ascii="Times New Roman" w:eastAsia="Times New Roman" w:hAnsi="Times New Roman" w:cs="Times New Roman"/>
          <w:bCs/>
          <w:sz w:val="24"/>
          <w:szCs w:val="24"/>
        </w:rPr>
        <w:t>and</w:t>
      </w:r>
      <w:r w:rsidR="0079102C">
        <w:rPr>
          <w:rFonts w:ascii="Times New Roman" w:eastAsia="Times New Roman" w:hAnsi="Times New Roman" w:cs="Times New Roman"/>
          <w:bCs/>
          <w:sz w:val="24"/>
          <w:szCs w:val="24"/>
        </w:rPr>
        <w:t xml:space="preserve"> exercised</w:t>
      </w:r>
      <w:r w:rsidR="00550606">
        <w:rPr>
          <w:rFonts w:ascii="Times New Roman" w:eastAsia="Times New Roman" w:hAnsi="Times New Roman" w:cs="Times New Roman"/>
          <w:bCs/>
          <w:sz w:val="24"/>
          <w:szCs w:val="24"/>
        </w:rPr>
        <w:t xml:space="preserve"> it</w:t>
      </w:r>
      <w:r w:rsidR="00197E2D">
        <w:rPr>
          <w:rFonts w:ascii="Times New Roman" w:eastAsia="Times New Roman" w:hAnsi="Times New Roman" w:cs="Times New Roman"/>
          <w:bCs/>
          <w:sz w:val="24"/>
          <w:szCs w:val="24"/>
        </w:rPr>
        <w:t>,</w:t>
      </w:r>
      <w:r w:rsidR="0079102C">
        <w:rPr>
          <w:rFonts w:ascii="Times New Roman" w:eastAsia="Times New Roman" w:hAnsi="Times New Roman" w:cs="Times New Roman"/>
          <w:bCs/>
          <w:sz w:val="24"/>
          <w:szCs w:val="24"/>
        </w:rPr>
        <w:t xml:space="preserve"> above and beyond its mandate to smooth seasonal fluctuations.</w:t>
      </w:r>
      <w:r w:rsidR="0065490B">
        <w:rPr>
          <w:rStyle w:val="FootnoteReference"/>
          <w:rFonts w:ascii="Times New Roman" w:eastAsia="Times New Roman" w:hAnsi="Times New Roman" w:cs="Times New Roman"/>
          <w:bCs/>
          <w:sz w:val="24"/>
          <w:szCs w:val="24"/>
        </w:rPr>
        <w:footnoteReference w:id="2"/>
      </w:r>
      <w:r w:rsidR="009B2713">
        <w:rPr>
          <w:rFonts w:ascii="Times New Roman" w:eastAsia="Times New Roman" w:hAnsi="Times New Roman" w:cs="Times New Roman"/>
          <w:bCs/>
          <w:sz w:val="24"/>
          <w:szCs w:val="24"/>
        </w:rPr>
        <w:t xml:space="preserve"> </w:t>
      </w:r>
    </w:p>
    <w:p w14:paraId="69D31BC5" w14:textId="558B5DB4" w:rsidR="001749C1" w:rsidRPr="00857B21" w:rsidRDefault="002465E3" w:rsidP="00F07236">
      <w:pPr>
        <w:spacing w:line="480" w:lineRule="auto"/>
        <w:ind w:firstLine="576"/>
        <w:rPr>
          <w:rFonts w:ascii="Times New Roman" w:hAnsi="Times New Roman" w:cs="Times New Roman"/>
          <w:sz w:val="24"/>
          <w:szCs w:val="24"/>
        </w:rPr>
      </w:pPr>
      <w:r w:rsidRPr="00A50FD4">
        <w:rPr>
          <w:rFonts w:ascii="Times New Roman" w:eastAsia="Times New Roman" w:hAnsi="Times New Roman" w:cs="Times New Roman"/>
          <w:bCs/>
          <w:sz w:val="24"/>
          <w:szCs w:val="24"/>
        </w:rPr>
        <w:t>Taylor’s latest arguments</w:t>
      </w:r>
      <w:r w:rsidR="00913FC7">
        <w:rPr>
          <w:rFonts w:ascii="Times New Roman" w:eastAsia="Times New Roman" w:hAnsi="Times New Roman" w:cs="Times New Roman"/>
          <w:bCs/>
          <w:sz w:val="24"/>
          <w:szCs w:val="24"/>
        </w:rPr>
        <w:t>, however,</w:t>
      </w:r>
      <w:r w:rsidRPr="00A50FD4">
        <w:rPr>
          <w:rFonts w:ascii="Times New Roman" w:eastAsia="Times New Roman" w:hAnsi="Times New Roman" w:cs="Times New Roman"/>
          <w:bCs/>
          <w:sz w:val="24"/>
          <w:szCs w:val="24"/>
        </w:rPr>
        <w:t xml:space="preserve"> lead us to ask</w:t>
      </w:r>
      <w:r w:rsidR="00DA1076">
        <w:rPr>
          <w:rFonts w:ascii="Times New Roman" w:eastAsia="Times New Roman" w:hAnsi="Times New Roman" w:cs="Times New Roman"/>
          <w:bCs/>
          <w:sz w:val="24"/>
          <w:szCs w:val="24"/>
        </w:rPr>
        <w:t xml:space="preserve">, given the </w:t>
      </w:r>
      <w:r w:rsidR="00360717">
        <w:rPr>
          <w:rFonts w:ascii="Times New Roman" w:eastAsia="Times New Roman" w:hAnsi="Times New Roman" w:cs="Times New Roman"/>
          <w:bCs/>
          <w:sz w:val="24"/>
          <w:szCs w:val="24"/>
        </w:rPr>
        <w:t>series</w:t>
      </w:r>
      <w:r w:rsidR="00DA1076">
        <w:rPr>
          <w:rFonts w:ascii="Times New Roman" w:eastAsia="Times New Roman" w:hAnsi="Times New Roman" w:cs="Times New Roman"/>
          <w:bCs/>
          <w:sz w:val="24"/>
          <w:szCs w:val="24"/>
        </w:rPr>
        <w:t xml:space="preserve"> of speculative bubbles in the 1920s, </w:t>
      </w:r>
      <w:r w:rsidRPr="00A50FD4">
        <w:rPr>
          <w:rFonts w:ascii="Times New Roman" w:eastAsia="Times New Roman" w:hAnsi="Times New Roman" w:cs="Times New Roman"/>
          <w:bCs/>
          <w:sz w:val="24"/>
          <w:szCs w:val="24"/>
        </w:rPr>
        <w:t xml:space="preserve">whether </w:t>
      </w:r>
      <w:r w:rsidR="00DA1076">
        <w:rPr>
          <w:rFonts w:ascii="Times New Roman" w:eastAsia="Times New Roman" w:hAnsi="Times New Roman" w:cs="Times New Roman"/>
          <w:bCs/>
          <w:sz w:val="24"/>
          <w:szCs w:val="24"/>
        </w:rPr>
        <w:t>a</w:t>
      </w:r>
      <w:r w:rsidR="00DA1076" w:rsidRPr="00A50FD4">
        <w:rPr>
          <w:rFonts w:ascii="Times New Roman" w:eastAsia="Times New Roman" w:hAnsi="Times New Roman" w:cs="Times New Roman"/>
          <w:bCs/>
          <w:sz w:val="24"/>
          <w:szCs w:val="24"/>
        </w:rPr>
        <w:t xml:space="preserve"> </w:t>
      </w:r>
      <w:r w:rsidRPr="00A50FD4">
        <w:rPr>
          <w:rFonts w:ascii="Times New Roman" w:eastAsia="Times New Roman" w:hAnsi="Times New Roman" w:cs="Times New Roman"/>
          <w:bCs/>
          <w:sz w:val="24"/>
          <w:szCs w:val="24"/>
        </w:rPr>
        <w:t xml:space="preserve">problem earlier </w:t>
      </w:r>
      <w:r w:rsidR="005F15BF" w:rsidRPr="00A50FD4">
        <w:rPr>
          <w:rFonts w:ascii="Times New Roman" w:eastAsia="Times New Roman" w:hAnsi="Times New Roman" w:cs="Times New Roman"/>
          <w:bCs/>
          <w:sz w:val="24"/>
          <w:szCs w:val="24"/>
        </w:rPr>
        <w:t>in</w:t>
      </w:r>
      <w:r w:rsidR="0079102C">
        <w:rPr>
          <w:rFonts w:ascii="Times New Roman" w:eastAsia="Times New Roman" w:hAnsi="Times New Roman" w:cs="Times New Roman"/>
          <w:bCs/>
          <w:sz w:val="24"/>
          <w:szCs w:val="24"/>
        </w:rPr>
        <w:t xml:space="preserve"> </w:t>
      </w:r>
      <w:r w:rsidR="005F15BF" w:rsidRPr="00A50FD4">
        <w:rPr>
          <w:rFonts w:ascii="Times New Roman" w:eastAsia="Times New Roman" w:hAnsi="Times New Roman" w:cs="Times New Roman"/>
          <w:bCs/>
          <w:sz w:val="24"/>
          <w:szCs w:val="24"/>
        </w:rPr>
        <w:t xml:space="preserve">the decade </w:t>
      </w:r>
      <w:r w:rsidR="00913FC7">
        <w:rPr>
          <w:rFonts w:ascii="Times New Roman" w:eastAsia="Times New Roman" w:hAnsi="Times New Roman" w:cs="Times New Roman"/>
          <w:bCs/>
          <w:sz w:val="24"/>
          <w:szCs w:val="24"/>
        </w:rPr>
        <w:t xml:space="preserve">might </w:t>
      </w:r>
      <w:r w:rsidR="005F15BF" w:rsidRPr="00A50FD4">
        <w:rPr>
          <w:rFonts w:ascii="Times New Roman" w:eastAsia="Times New Roman" w:hAnsi="Times New Roman" w:cs="Times New Roman"/>
          <w:bCs/>
          <w:sz w:val="24"/>
          <w:szCs w:val="24"/>
        </w:rPr>
        <w:t xml:space="preserve">actually have been “too low” rates, as </w:t>
      </w:r>
      <w:r w:rsidRPr="00A50FD4">
        <w:rPr>
          <w:rFonts w:ascii="Times New Roman" w:eastAsia="Times New Roman" w:hAnsi="Times New Roman" w:cs="Times New Roman"/>
          <w:bCs/>
          <w:sz w:val="24"/>
          <w:szCs w:val="24"/>
        </w:rPr>
        <w:t>he</w:t>
      </w:r>
      <w:r w:rsidR="005F15BF" w:rsidRPr="00A50FD4">
        <w:rPr>
          <w:rFonts w:ascii="Times New Roman" w:eastAsia="Times New Roman" w:hAnsi="Times New Roman" w:cs="Times New Roman"/>
          <w:bCs/>
          <w:sz w:val="24"/>
          <w:szCs w:val="24"/>
        </w:rPr>
        <w:t xml:space="preserve"> has claimed for 2001-04 and 2008</w:t>
      </w:r>
      <w:r w:rsidR="00DA1076">
        <w:rPr>
          <w:rFonts w:ascii="Times New Roman" w:eastAsia="Times New Roman" w:hAnsi="Times New Roman" w:cs="Times New Roman"/>
          <w:bCs/>
          <w:sz w:val="24"/>
          <w:szCs w:val="24"/>
        </w:rPr>
        <w:t xml:space="preserve"> onward</w:t>
      </w:r>
      <w:r w:rsidR="00661E64">
        <w:rPr>
          <w:rFonts w:ascii="Times New Roman" w:eastAsia="Times New Roman" w:hAnsi="Times New Roman" w:cs="Times New Roman"/>
          <w:bCs/>
          <w:sz w:val="24"/>
          <w:szCs w:val="24"/>
        </w:rPr>
        <w:t>.</w:t>
      </w:r>
      <w:r w:rsidR="005F15BF" w:rsidRPr="00A50FD4">
        <w:rPr>
          <w:rFonts w:ascii="Times New Roman" w:eastAsia="Times New Roman" w:hAnsi="Times New Roman" w:cs="Times New Roman"/>
          <w:bCs/>
          <w:sz w:val="24"/>
          <w:szCs w:val="24"/>
        </w:rPr>
        <w:t xml:space="preserve">  </w:t>
      </w:r>
      <w:r w:rsidR="00F07236" w:rsidRPr="00A50FD4">
        <w:rPr>
          <w:rFonts w:ascii="Times New Roman" w:eastAsia="Times New Roman" w:hAnsi="Times New Roman" w:cs="Times New Roman"/>
          <w:bCs/>
          <w:sz w:val="24"/>
          <w:szCs w:val="24"/>
        </w:rPr>
        <w:t>Taylor has propounded an additi</w:t>
      </w:r>
      <w:r w:rsidR="00476306" w:rsidRPr="00A50FD4">
        <w:rPr>
          <w:rFonts w:ascii="Times New Roman" w:eastAsia="Times New Roman" w:hAnsi="Times New Roman" w:cs="Times New Roman"/>
          <w:bCs/>
          <w:sz w:val="24"/>
          <w:szCs w:val="24"/>
        </w:rPr>
        <w:t>onal channel through which excessively low policy</w:t>
      </w:r>
      <w:r w:rsidR="00F07236" w:rsidRPr="00A50FD4">
        <w:rPr>
          <w:rFonts w:ascii="Times New Roman" w:eastAsia="Times New Roman" w:hAnsi="Times New Roman" w:cs="Times New Roman"/>
          <w:bCs/>
          <w:sz w:val="24"/>
          <w:szCs w:val="24"/>
        </w:rPr>
        <w:t xml:space="preserve"> r</w:t>
      </w:r>
      <w:r w:rsidR="005F15BF" w:rsidRPr="00A50FD4">
        <w:rPr>
          <w:rFonts w:ascii="Times New Roman" w:eastAsia="Times New Roman" w:hAnsi="Times New Roman" w:cs="Times New Roman"/>
          <w:bCs/>
          <w:sz w:val="24"/>
          <w:szCs w:val="24"/>
        </w:rPr>
        <w:t xml:space="preserve">ates </w:t>
      </w:r>
      <w:r w:rsidR="005802E6" w:rsidRPr="00A50FD4">
        <w:rPr>
          <w:rFonts w:ascii="Times New Roman" w:eastAsia="Times New Roman" w:hAnsi="Times New Roman" w:cs="Times New Roman"/>
          <w:bCs/>
          <w:sz w:val="24"/>
          <w:szCs w:val="24"/>
        </w:rPr>
        <w:t xml:space="preserve">might damage an economy: </w:t>
      </w:r>
      <w:r w:rsidR="00F07236" w:rsidRPr="00A50FD4">
        <w:rPr>
          <w:rFonts w:ascii="Times New Roman" w:eastAsia="Times New Roman" w:hAnsi="Times New Roman" w:cs="Times New Roman"/>
          <w:bCs/>
          <w:sz w:val="24"/>
          <w:szCs w:val="24"/>
        </w:rPr>
        <w:t xml:space="preserve"> by fueling </w:t>
      </w:r>
      <w:r w:rsidR="005802E6" w:rsidRPr="00A50FD4">
        <w:rPr>
          <w:rFonts w:ascii="Times New Roman" w:eastAsia="Times New Roman" w:hAnsi="Times New Roman" w:cs="Times New Roman"/>
          <w:bCs/>
          <w:sz w:val="24"/>
          <w:szCs w:val="24"/>
        </w:rPr>
        <w:t xml:space="preserve">asset price </w:t>
      </w:r>
      <w:r w:rsidR="00F07236" w:rsidRPr="00A50FD4">
        <w:rPr>
          <w:rFonts w:ascii="Times New Roman" w:eastAsia="Times New Roman" w:hAnsi="Times New Roman" w:cs="Times New Roman"/>
          <w:bCs/>
          <w:sz w:val="24"/>
          <w:szCs w:val="24"/>
        </w:rPr>
        <w:t>bubbles that eventually b</w:t>
      </w:r>
      <w:r w:rsidR="005802E6" w:rsidRPr="00A50FD4">
        <w:rPr>
          <w:rFonts w:ascii="Times New Roman" w:eastAsia="Times New Roman" w:hAnsi="Times New Roman" w:cs="Times New Roman"/>
          <w:bCs/>
          <w:sz w:val="24"/>
          <w:szCs w:val="24"/>
        </w:rPr>
        <w:t>urst, exposing an economy to the risk of years of</w:t>
      </w:r>
      <w:r w:rsidR="00F07236" w:rsidRPr="00A50FD4">
        <w:rPr>
          <w:rFonts w:ascii="Times New Roman" w:eastAsia="Times New Roman" w:hAnsi="Times New Roman" w:cs="Times New Roman"/>
          <w:bCs/>
          <w:sz w:val="24"/>
          <w:szCs w:val="24"/>
        </w:rPr>
        <w:t xml:space="preserve"> recession, slow recovery, and </w:t>
      </w:r>
      <w:r w:rsidR="005802E6" w:rsidRPr="00A50FD4">
        <w:rPr>
          <w:rFonts w:ascii="Times New Roman" w:eastAsia="Times New Roman" w:hAnsi="Times New Roman" w:cs="Times New Roman"/>
          <w:bCs/>
          <w:sz w:val="24"/>
          <w:szCs w:val="24"/>
        </w:rPr>
        <w:t xml:space="preserve">possibly </w:t>
      </w:r>
      <w:r w:rsidR="00F07236" w:rsidRPr="00A50FD4">
        <w:rPr>
          <w:rFonts w:ascii="Times New Roman" w:eastAsia="Times New Roman" w:hAnsi="Times New Roman" w:cs="Times New Roman"/>
          <w:bCs/>
          <w:sz w:val="24"/>
          <w:szCs w:val="24"/>
        </w:rPr>
        <w:t xml:space="preserve">a reduced </w:t>
      </w:r>
      <w:r w:rsidR="005802E6" w:rsidRPr="00A50FD4">
        <w:rPr>
          <w:rFonts w:ascii="Times New Roman" w:eastAsia="Times New Roman" w:hAnsi="Times New Roman" w:cs="Times New Roman"/>
          <w:bCs/>
          <w:sz w:val="24"/>
          <w:szCs w:val="24"/>
        </w:rPr>
        <w:t xml:space="preserve">growth </w:t>
      </w:r>
      <w:r w:rsidR="00F07236" w:rsidRPr="00A50FD4">
        <w:rPr>
          <w:rFonts w:ascii="Times New Roman" w:eastAsia="Times New Roman" w:hAnsi="Times New Roman" w:cs="Times New Roman"/>
          <w:bCs/>
          <w:sz w:val="24"/>
          <w:szCs w:val="24"/>
        </w:rPr>
        <w:t xml:space="preserve">trajectory for potential output.  Given </w:t>
      </w:r>
      <w:r w:rsidR="005802E6" w:rsidRPr="00A50FD4">
        <w:rPr>
          <w:rFonts w:ascii="Times New Roman" w:eastAsia="Times New Roman" w:hAnsi="Times New Roman" w:cs="Times New Roman"/>
          <w:bCs/>
          <w:sz w:val="24"/>
          <w:szCs w:val="24"/>
        </w:rPr>
        <w:t xml:space="preserve">the widespread interest in </w:t>
      </w:r>
      <w:r w:rsidR="00476306" w:rsidRPr="00A50FD4">
        <w:rPr>
          <w:rFonts w:ascii="Times New Roman" w:eastAsia="Times New Roman" w:hAnsi="Times New Roman" w:cs="Times New Roman"/>
          <w:bCs/>
          <w:sz w:val="24"/>
          <w:szCs w:val="24"/>
        </w:rPr>
        <w:t>comparing</w:t>
      </w:r>
      <w:r w:rsidR="005802E6" w:rsidRPr="00A50FD4">
        <w:rPr>
          <w:rFonts w:ascii="Times New Roman" w:eastAsia="Times New Roman" w:hAnsi="Times New Roman" w:cs="Times New Roman"/>
          <w:bCs/>
          <w:sz w:val="24"/>
          <w:szCs w:val="24"/>
        </w:rPr>
        <w:t xml:space="preserve"> </w:t>
      </w:r>
      <w:r w:rsidR="00B649E5">
        <w:rPr>
          <w:rFonts w:ascii="Times New Roman" w:eastAsia="Times New Roman" w:hAnsi="Times New Roman" w:cs="Times New Roman"/>
          <w:bCs/>
          <w:sz w:val="24"/>
          <w:szCs w:val="24"/>
        </w:rPr>
        <w:t xml:space="preserve">and contrasting </w:t>
      </w:r>
      <w:r w:rsidR="005802E6" w:rsidRPr="00A50FD4">
        <w:rPr>
          <w:rFonts w:ascii="Times New Roman" w:eastAsia="Times New Roman" w:hAnsi="Times New Roman" w:cs="Times New Roman"/>
          <w:bCs/>
          <w:sz w:val="24"/>
          <w:szCs w:val="24"/>
        </w:rPr>
        <w:t xml:space="preserve">1929 and 2008 (and the years before and after those dates) </w:t>
      </w:r>
      <w:r w:rsidR="00F07236" w:rsidRPr="00A50FD4">
        <w:rPr>
          <w:rFonts w:ascii="Times New Roman" w:eastAsia="Times New Roman" w:hAnsi="Times New Roman" w:cs="Times New Roman"/>
          <w:bCs/>
          <w:sz w:val="24"/>
          <w:szCs w:val="24"/>
        </w:rPr>
        <w:t xml:space="preserve">it is </w:t>
      </w:r>
      <w:r w:rsidR="00DA1076">
        <w:rPr>
          <w:rFonts w:ascii="Times New Roman" w:eastAsia="Times New Roman" w:hAnsi="Times New Roman" w:cs="Times New Roman"/>
          <w:bCs/>
          <w:sz w:val="24"/>
          <w:szCs w:val="24"/>
        </w:rPr>
        <w:t xml:space="preserve">therefore </w:t>
      </w:r>
      <w:r w:rsidR="00F07236" w:rsidRPr="00A50FD4">
        <w:rPr>
          <w:rFonts w:ascii="Times New Roman" w:eastAsia="Times New Roman" w:hAnsi="Times New Roman" w:cs="Times New Roman"/>
          <w:bCs/>
          <w:sz w:val="24"/>
          <w:szCs w:val="24"/>
        </w:rPr>
        <w:t>worth asking</w:t>
      </w:r>
      <w:r w:rsidR="005802E6" w:rsidRPr="00A50FD4">
        <w:rPr>
          <w:rFonts w:ascii="Times New Roman" w:eastAsia="Times New Roman" w:hAnsi="Times New Roman" w:cs="Times New Roman"/>
          <w:bCs/>
          <w:sz w:val="24"/>
          <w:szCs w:val="24"/>
        </w:rPr>
        <w:t xml:space="preserve"> w</w:t>
      </w:r>
      <w:r w:rsidR="00F07236" w:rsidRPr="00A50FD4">
        <w:rPr>
          <w:rFonts w:ascii="Times New Roman" w:eastAsia="Times New Roman" w:hAnsi="Times New Roman" w:cs="Times New Roman"/>
          <w:bCs/>
          <w:sz w:val="24"/>
          <w:szCs w:val="24"/>
        </w:rPr>
        <w:t xml:space="preserve">hether "too low rates" (according to the rule) </w:t>
      </w:r>
      <w:r w:rsidR="00661E64">
        <w:rPr>
          <w:rFonts w:ascii="Times New Roman" w:eastAsia="Times New Roman" w:hAnsi="Times New Roman" w:cs="Times New Roman"/>
          <w:bCs/>
          <w:sz w:val="24"/>
          <w:szCs w:val="24"/>
        </w:rPr>
        <w:t>might</w:t>
      </w:r>
      <w:r w:rsidR="00682A82">
        <w:rPr>
          <w:rFonts w:ascii="Times New Roman" w:eastAsia="Times New Roman" w:hAnsi="Times New Roman" w:cs="Times New Roman"/>
          <w:bCs/>
          <w:sz w:val="24"/>
          <w:szCs w:val="24"/>
        </w:rPr>
        <w:t>, according to Taylor principles,</w:t>
      </w:r>
      <w:r w:rsidR="00661E64" w:rsidRPr="00A50FD4">
        <w:rPr>
          <w:rFonts w:ascii="Times New Roman" w:eastAsia="Times New Roman" w:hAnsi="Times New Roman" w:cs="Times New Roman"/>
          <w:bCs/>
          <w:sz w:val="24"/>
          <w:szCs w:val="24"/>
        </w:rPr>
        <w:t xml:space="preserve"> </w:t>
      </w:r>
      <w:r w:rsidR="00F07236" w:rsidRPr="00A50FD4">
        <w:rPr>
          <w:rFonts w:ascii="Times New Roman" w:eastAsia="Times New Roman" w:hAnsi="Times New Roman" w:cs="Times New Roman"/>
          <w:bCs/>
          <w:sz w:val="24"/>
          <w:szCs w:val="24"/>
        </w:rPr>
        <w:t xml:space="preserve">be </w:t>
      </w:r>
      <w:r w:rsidR="00476306" w:rsidRPr="00A50FD4">
        <w:rPr>
          <w:rFonts w:ascii="Times New Roman" w:eastAsia="Times New Roman" w:hAnsi="Times New Roman" w:cs="Times New Roman"/>
          <w:bCs/>
          <w:sz w:val="24"/>
          <w:szCs w:val="24"/>
        </w:rPr>
        <w:t>held responsible</w:t>
      </w:r>
      <w:r w:rsidR="00F07236" w:rsidRPr="00A50FD4">
        <w:rPr>
          <w:rFonts w:ascii="Times New Roman" w:eastAsia="Times New Roman" w:hAnsi="Times New Roman" w:cs="Times New Roman"/>
          <w:bCs/>
          <w:sz w:val="24"/>
          <w:szCs w:val="24"/>
        </w:rPr>
        <w:t xml:space="preserve"> for the 1920s </w:t>
      </w:r>
      <w:r w:rsidRPr="00A50FD4">
        <w:rPr>
          <w:rFonts w:ascii="Times New Roman" w:eastAsia="Times New Roman" w:hAnsi="Times New Roman" w:cs="Times New Roman"/>
          <w:bCs/>
          <w:sz w:val="24"/>
          <w:szCs w:val="24"/>
        </w:rPr>
        <w:t>real estate and</w:t>
      </w:r>
      <w:r w:rsidR="00550606">
        <w:rPr>
          <w:rFonts w:ascii="Times New Roman" w:eastAsia="Times New Roman" w:hAnsi="Times New Roman" w:cs="Times New Roman"/>
          <w:bCs/>
          <w:sz w:val="24"/>
          <w:szCs w:val="24"/>
        </w:rPr>
        <w:t>/or</w:t>
      </w:r>
      <w:r w:rsidRPr="00A50FD4">
        <w:rPr>
          <w:rFonts w:ascii="Times New Roman" w:eastAsia="Times New Roman" w:hAnsi="Times New Roman" w:cs="Times New Roman"/>
          <w:bCs/>
          <w:sz w:val="24"/>
          <w:szCs w:val="24"/>
        </w:rPr>
        <w:t xml:space="preserve"> equity </w:t>
      </w:r>
      <w:r w:rsidR="00F07236" w:rsidRPr="00A50FD4">
        <w:rPr>
          <w:rFonts w:ascii="Times New Roman" w:eastAsia="Times New Roman" w:hAnsi="Times New Roman" w:cs="Times New Roman"/>
          <w:bCs/>
          <w:sz w:val="24"/>
          <w:szCs w:val="24"/>
        </w:rPr>
        <w:t>bubbles</w:t>
      </w:r>
      <w:r w:rsidRPr="00A50FD4">
        <w:rPr>
          <w:rFonts w:ascii="Times New Roman" w:eastAsia="Times New Roman" w:hAnsi="Times New Roman" w:cs="Times New Roman"/>
          <w:bCs/>
          <w:sz w:val="24"/>
          <w:szCs w:val="24"/>
        </w:rPr>
        <w:t>.</w:t>
      </w:r>
      <w:r w:rsidR="00287C11">
        <w:rPr>
          <w:rStyle w:val="FootnoteReference"/>
          <w:rFonts w:ascii="Times New Roman" w:eastAsia="Times New Roman" w:hAnsi="Times New Roman" w:cs="Times New Roman"/>
          <w:bCs/>
          <w:sz w:val="24"/>
          <w:szCs w:val="24"/>
        </w:rPr>
        <w:footnoteReference w:id="3"/>
      </w:r>
    </w:p>
    <w:p w14:paraId="3FBF5AB8" w14:textId="77777777" w:rsidR="00B649E5" w:rsidRDefault="00B649E5" w:rsidP="009F3FFE">
      <w:pPr>
        <w:spacing w:line="480" w:lineRule="auto"/>
        <w:rPr>
          <w:rFonts w:ascii="Times New Roman" w:hAnsi="Times New Roman" w:cs="Times New Roman"/>
          <w:b/>
          <w:sz w:val="24"/>
          <w:szCs w:val="24"/>
        </w:rPr>
      </w:pPr>
    </w:p>
    <w:p w14:paraId="53C13B15" w14:textId="3191C1AA" w:rsidR="00A274FD" w:rsidRPr="00857B21" w:rsidRDefault="00A274FD" w:rsidP="009F3FFE">
      <w:pPr>
        <w:spacing w:line="480" w:lineRule="auto"/>
        <w:rPr>
          <w:rFonts w:ascii="Times New Roman" w:hAnsi="Times New Roman" w:cs="Times New Roman"/>
          <w:b/>
          <w:sz w:val="24"/>
          <w:szCs w:val="24"/>
        </w:rPr>
      </w:pPr>
      <w:r w:rsidRPr="00857B21">
        <w:rPr>
          <w:rFonts w:ascii="Times New Roman" w:hAnsi="Times New Roman" w:cs="Times New Roman"/>
          <w:b/>
          <w:sz w:val="24"/>
          <w:szCs w:val="24"/>
        </w:rPr>
        <w:lastRenderedPageBreak/>
        <w:t>The Taylor Rule</w:t>
      </w:r>
    </w:p>
    <w:p w14:paraId="396BB422" w14:textId="03DAAB1E" w:rsidR="001C293E" w:rsidRDefault="00A274FD" w:rsidP="0014508B">
      <w:pPr>
        <w:spacing w:line="480" w:lineRule="auto"/>
        <w:ind w:firstLine="576"/>
        <w:rPr>
          <w:rFonts w:ascii="Times New Roman" w:hAnsi="Times New Roman" w:cs="Times New Roman"/>
          <w:sz w:val="24"/>
          <w:szCs w:val="24"/>
        </w:rPr>
      </w:pPr>
      <w:r w:rsidRPr="00857B21">
        <w:rPr>
          <w:rFonts w:ascii="Times New Roman" w:hAnsi="Times New Roman" w:cs="Times New Roman"/>
          <w:sz w:val="24"/>
          <w:szCs w:val="24"/>
        </w:rPr>
        <w:t>Taylor’s</w:t>
      </w:r>
      <w:r w:rsidR="001749C1" w:rsidRPr="00857B21">
        <w:rPr>
          <w:rFonts w:ascii="Times New Roman" w:hAnsi="Times New Roman" w:cs="Times New Roman"/>
          <w:sz w:val="24"/>
          <w:szCs w:val="24"/>
        </w:rPr>
        <w:t xml:space="preserve"> 1993 article did not </w:t>
      </w:r>
      <w:r w:rsidRPr="00857B21">
        <w:rPr>
          <w:rFonts w:ascii="Times New Roman" w:hAnsi="Times New Roman" w:cs="Times New Roman"/>
          <w:sz w:val="24"/>
          <w:szCs w:val="24"/>
        </w:rPr>
        <w:t>mention</w:t>
      </w:r>
      <w:r w:rsidR="00E92720" w:rsidRPr="00857B21">
        <w:rPr>
          <w:rFonts w:ascii="Times New Roman" w:hAnsi="Times New Roman" w:cs="Times New Roman"/>
          <w:sz w:val="24"/>
          <w:szCs w:val="24"/>
        </w:rPr>
        <w:t xml:space="preserve"> </w:t>
      </w:r>
      <w:r w:rsidR="001749C1" w:rsidRPr="00857B21">
        <w:rPr>
          <w:rFonts w:ascii="Times New Roman" w:hAnsi="Times New Roman" w:cs="Times New Roman"/>
          <w:sz w:val="24"/>
          <w:szCs w:val="24"/>
        </w:rPr>
        <w:t>bubbles.  The Fed was assumed to have two targets – low inflation and high employment – each of which might be affected by the level of short term inter</w:t>
      </w:r>
      <w:r w:rsidR="006E1BF7" w:rsidRPr="00857B21">
        <w:rPr>
          <w:rFonts w:ascii="Times New Roman" w:hAnsi="Times New Roman" w:cs="Times New Roman"/>
          <w:sz w:val="24"/>
          <w:szCs w:val="24"/>
        </w:rPr>
        <w:t xml:space="preserve">est rates. </w:t>
      </w:r>
      <w:r w:rsidR="0014508B" w:rsidRPr="00857B21">
        <w:rPr>
          <w:rFonts w:ascii="Times New Roman" w:hAnsi="Times New Roman" w:cs="Times New Roman"/>
          <w:sz w:val="24"/>
          <w:szCs w:val="24"/>
        </w:rPr>
        <w:t xml:space="preserve">His analysis represented an attempt to preserve the principle of rules vs discretion </w:t>
      </w:r>
      <w:r w:rsidR="001C293E" w:rsidRPr="00857B21">
        <w:rPr>
          <w:rFonts w:ascii="Times New Roman" w:hAnsi="Times New Roman" w:cs="Times New Roman"/>
          <w:sz w:val="24"/>
          <w:szCs w:val="24"/>
        </w:rPr>
        <w:t xml:space="preserve">in monetary policy </w:t>
      </w:r>
      <w:r w:rsidR="0014508B" w:rsidRPr="00857B21">
        <w:rPr>
          <w:rFonts w:ascii="Times New Roman" w:hAnsi="Times New Roman" w:cs="Times New Roman"/>
          <w:sz w:val="24"/>
          <w:szCs w:val="24"/>
        </w:rPr>
        <w:t xml:space="preserve">following the </w:t>
      </w:r>
      <w:r w:rsidR="001C293E" w:rsidRPr="00857B21">
        <w:rPr>
          <w:rFonts w:ascii="Times New Roman" w:hAnsi="Times New Roman" w:cs="Times New Roman"/>
          <w:sz w:val="24"/>
          <w:szCs w:val="24"/>
        </w:rPr>
        <w:t xml:space="preserve">disappointing </w:t>
      </w:r>
      <w:r w:rsidR="0014508B" w:rsidRPr="00857B21">
        <w:rPr>
          <w:rFonts w:ascii="Times New Roman" w:hAnsi="Times New Roman" w:cs="Times New Roman"/>
          <w:sz w:val="24"/>
          <w:szCs w:val="24"/>
        </w:rPr>
        <w:t>attempts in Britain and elsewhere to implement a constant growth rate of t</w:t>
      </w:r>
      <w:r w:rsidR="00E44B8D" w:rsidRPr="00857B21">
        <w:rPr>
          <w:rFonts w:ascii="Times New Roman" w:hAnsi="Times New Roman" w:cs="Times New Roman"/>
          <w:sz w:val="24"/>
          <w:szCs w:val="24"/>
        </w:rPr>
        <w:t xml:space="preserve">he money supply rule, </w:t>
      </w:r>
      <w:r w:rsidR="00670C18" w:rsidRPr="00857B21">
        <w:rPr>
          <w:rFonts w:ascii="Times New Roman" w:hAnsi="Times New Roman" w:cs="Times New Roman"/>
          <w:sz w:val="24"/>
          <w:szCs w:val="24"/>
        </w:rPr>
        <w:t xml:space="preserve">which had </w:t>
      </w:r>
      <w:r w:rsidR="0014508B" w:rsidRPr="00857B21">
        <w:rPr>
          <w:rFonts w:ascii="Times New Roman" w:hAnsi="Times New Roman" w:cs="Times New Roman"/>
          <w:sz w:val="24"/>
          <w:szCs w:val="24"/>
        </w:rPr>
        <w:t xml:space="preserve">long </w:t>
      </w:r>
      <w:r w:rsidR="001C293E" w:rsidRPr="00857B21">
        <w:rPr>
          <w:rFonts w:ascii="Times New Roman" w:hAnsi="Times New Roman" w:cs="Times New Roman"/>
          <w:sz w:val="24"/>
          <w:szCs w:val="24"/>
        </w:rPr>
        <w:t xml:space="preserve">been </w:t>
      </w:r>
      <w:r w:rsidR="00E44B8D" w:rsidRPr="00857B21">
        <w:rPr>
          <w:rFonts w:ascii="Times New Roman" w:hAnsi="Times New Roman" w:cs="Times New Roman"/>
          <w:sz w:val="24"/>
          <w:szCs w:val="24"/>
        </w:rPr>
        <w:t>advocated by</w:t>
      </w:r>
      <w:r w:rsidR="0014508B" w:rsidRPr="00857B21">
        <w:rPr>
          <w:rFonts w:ascii="Times New Roman" w:hAnsi="Times New Roman" w:cs="Times New Roman"/>
          <w:sz w:val="24"/>
          <w:szCs w:val="24"/>
        </w:rPr>
        <w:t xml:space="preserve"> Milton Friedman</w:t>
      </w:r>
      <w:r w:rsidR="00E44B8D" w:rsidRPr="00857B21">
        <w:rPr>
          <w:rFonts w:ascii="Times New Roman" w:hAnsi="Times New Roman" w:cs="Times New Roman"/>
          <w:sz w:val="24"/>
          <w:szCs w:val="24"/>
        </w:rPr>
        <w:t>, David Laidler, and many others.</w:t>
      </w:r>
      <w:r w:rsidR="0014508B" w:rsidRPr="00857B21">
        <w:rPr>
          <w:rFonts w:ascii="Times New Roman" w:hAnsi="Times New Roman" w:cs="Times New Roman"/>
          <w:sz w:val="24"/>
          <w:szCs w:val="24"/>
        </w:rPr>
        <w:t xml:space="preserve"> </w:t>
      </w:r>
      <w:r w:rsidR="00307762" w:rsidRPr="00857B21">
        <w:rPr>
          <w:rFonts w:ascii="Times New Roman" w:hAnsi="Times New Roman" w:cs="Times New Roman"/>
          <w:sz w:val="24"/>
          <w:szCs w:val="24"/>
        </w:rPr>
        <w:t>Given its enormo</w:t>
      </w:r>
      <w:r w:rsidR="00E44B8D" w:rsidRPr="00857B21">
        <w:rPr>
          <w:rFonts w:ascii="Times New Roman" w:hAnsi="Times New Roman" w:cs="Times New Roman"/>
          <w:sz w:val="24"/>
          <w:szCs w:val="24"/>
        </w:rPr>
        <w:t>us influence and the</w:t>
      </w:r>
      <w:r w:rsidR="00307762" w:rsidRPr="00857B21">
        <w:rPr>
          <w:rFonts w:ascii="Times New Roman" w:hAnsi="Times New Roman" w:cs="Times New Roman"/>
          <w:sz w:val="24"/>
          <w:szCs w:val="24"/>
        </w:rPr>
        <w:t xml:space="preserve"> fervor it had inspired, the death of monetarism – killed by actual attempts to implement its central policy prescription</w:t>
      </w:r>
      <w:r w:rsidR="001C293E" w:rsidRPr="00857B21">
        <w:rPr>
          <w:rFonts w:ascii="Times New Roman" w:hAnsi="Times New Roman" w:cs="Times New Roman"/>
          <w:sz w:val="24"/>
          <w:szCs w:val="24"/>
        </w:rPr>
        <w:t xml:space="preserve"> in the face of unstable velocity</w:t>
      </w:r>
      <w:r w:rsidR="00307762" w:rsidRPr="00857B21">
        <w:rPr>
          <w:rFonts w:ascii="Times New Roman" w:hAnsi="Times New Roman" w:cs="Times New Roman"/>
          <w:sz w:val="24"/>
          <w:szCs w:val="24"/>
        </w:rPr>
        <w:t xml:space="preserve"> – was remar</w:t>
      </w:r>
      <w:r w:rsidR="001C293E" w:rsidRPr="00857B21">
        <w:rPr>
          <w:rFonts w:ascii="Times New Roman" w:hAnsi="Times New Roman" w:cs="Times New Roman"/>
          <w:sz w:val="24"/>
          <w:szCs w:val="24"/>
        </w:rPr>
        <w:t>kably swift.</w:t>
      </w:r>
      <w:r w:rsidR="00422648" w:rsidRPr="00857B21">
        <w:rPr>
          <w:rStyle w:val="FootnoteReference"/>
          <w:rFonts w:ascii="Times New Roman" w:hAnsi="Times New Roman" w:cs="Times New Roman"/>
          <w:sz w:val="24"/>
          <w:szCs w:val="24"/>
        </w:rPr>
        <w:footnoteReference w:id="4"/>
      </w:r>
      <w:r w:rsidR="001C293E" w:rsidRPr="00857B21">
        <w:rPr>
          <w:rFonts w:ascii="Times New Roman" w:hAnsi="Times New Roman" w:cs="Times New Roman"/>
          <w:sz w:val="24"/>
          <w:szCs w:val="24"/>
        </w:rPr>
        <w:t xml:space="preserve">  </w:t>
      </w:r>
      <w:r w:rsidR="00670C18" w:rsidRPr="00857B21">
        <w:rPr>
          <w:rFonts w:ascii="Times New Roman" w:hAnsi="Times New Roman" w:cs="Times New Roman"/>
          <w:sz w:val="24"/>
          <w:szCs w:val="24"/>
        </w:rPr>
        <w:t xml:space="preserve">Intended or otherwise, </w:t>
      </w:r>
      <w:r w:rsidR="001C293E" w:rsidRPr="00857B21">
        <w:rPr>
          <w:rFonts w:ascii="Times New Roman" w:hAnsi="Times New Roman" w:cs="Times New Roman"/>
          <w:sz w:val="24"/>
          <w:szCs w:val="24"/>
        </w:rPr>
        <w:t>Taylor wrote</w:t>
      </w:r>
      <w:r w:rsidR="00307762" w:rsidRPr="00857B21">
        <w:rPr>
          <w:rFonts w:ascii="Times New Roman" w:hAnsi="Times New Roman" w:cs="Times New Roman"/>
          <w:sz w:val="24"/>
          <w:szCs w:val="24"/>
        </w:rPr>
        <w:t xml:space="preserve"> its epitaph, and his work would</w:t>
      </w:r>
      <w:r w:rsidR="001C293E" w:rsidRPr="00857B21">
        <w:rPr>
          <w:rFonts w:ascii="Times New Roman" w:hAnsi="Times New Roman" w:cs="Times New Roman"/>
          <w:sz w:val="24"/>
          <w:szCs w:val="24"/>
        </w:rPr>
        <w:t xml:space="preserve"> change the way macroeconomics wa</w:t>
      </w:r>
      <w:r w:rsidR="00307762" w:rsidRPr="00857B21">
        <w:rPr>
          <w:rFonts w:ascii="Times New Roman" w:hAnsi="Times New Roman" w:cs="Times New Roman"/>
          <w:sz w:val="24"/>
          <w:szCs w:val="24"/>
        </w:rPr>
        <w:t>s</w:t>
      </w:r>
      <w:r w:rsidR="001C293E" w:rsidRPr="00857B21">
        <w:rPr>
          <w:rFonts w:ascii="Times New Roman" w:hAnsi="Times New Roman" w:cs="Times New Roman"/>
          <w:sz w:val="24"/>
          <w:szCs w:val="24"/>
        </w:rPr>
        <w:t xml:space="preserve"> (and is)</w:t>
      </w:r>
      <w:r w:rsidR="00307762" w:rsidRPr="00857B21">
        <w:rPr>
          <w:rFonts w:ascii="Times New Roman" w:hAnsi="Times New Roman" w:cs="Times New Roman"/>
          <w:sz w:val="24"/>
          <w:szCs w:val="24"/>
        </w:rPr>
        <w:t xml:space="preserve"> taught</w:t>
      </w:r>
      <w:r w:rsidR="001C293E" w:rsidRPr="00857B21">
        <w:rPr>
          <w:rFonts w:ascii="Times New Roman" w:hAnsi="Times New Roman" w:cs="Times New Roman"/>
          <w:sz w:val="24"/>
          <w:szCs w:val="24"/>
        </w:rPr>
        <w:t xml:space="preserve"> and </w:t>
      </w:r>
      <w:r w:rsidR="00A35A63" w:rsidRPr="00857B21">
        <w:rPr>
          <w:rFonts w:ascii="Times New Roman" w:hAnsi="Times New Roman" w:cs="Times New Roman"/>
          <w:sz w:val="24"/>
          <w:szCs w:val="24"/>
        </w:rPr>
        <w:t xml:space="preserve">influence the way it is </w:t>
      </w:r>
      <w:r w:rsidR="001C293E" w:rsidRPr="00857B21">
        <w:rPr>
          <w:rFonts w:ascii="Times New Roman" w:hAnsi="Times New Roman" w:cs="Times New Roman"/>
          <w:sz w:val="24"/>
          <w:szCs w:val="24"/>
        </w:rPr>
        <w:t>practiced</w:t>
      </w:r>
      <w:r w:rsidR="00307762" w:rsidRPr="00857B21">
        <w:rPr>
          <w:rFonts w:ascii="Times New Roman" w:hAnsi="Times New Roman" w:cs="Times New Roman"/>
          <w:sz w:val="24"/>
          <w:szCs w:val="24"/>
        </w:rPr>
        <w:t xml:space="preserve">.  </w:t>
      </w:r>
      <w:r w:rsidR="00E44B8D" w:rsidRPr="00857B21">
        <w:rPr>
          <w:rFonts w:ascii="Times New Roman" w:hAnsi="Times New Roman" w:cs="Times New Roman"/>
          <w:sz w:val="24"/>
          <w:szCs w:val="24"/>
        </w:rPr>
        <w:t>No c</w:t>
      </w:r>
      <w:r w:rsidR="001C293E" w:rsidRPr="00857B21">
        <w:rPr>
          <w:rFonts w:ascii="Times New Roman" w:hAnsi="Times New Roman" w:cs="Times New Roman"/>
          <w:sz w:val="24"/>
          <w:szCs w:val="24"/>
        </w:rPr>
        <w:t xml:space="preserve">entral banks today </w:t>
      </w:r>
      <w:r w:rsidR="002033EC" w:rsidRPr="00857B21">
        <w:rPr>
          <w:rFonts w:ascii="Times New Roman" w:hAnsi="Times New Roman" w:cs="Times New Roman"/>
          <w:sz w:val="24"/>
          <w:szCs w:val="24"/>
        </w:rPr>
        <w:t>target</w:t>
      </w:r>
      <w:r w:rsidR="00E44B8D" w:rsidRPr="00857B21">
        <w:rPr>
          <w:rFonts w:ascii="Times New Roman" w:hAnsi="Times New Roman" w:cs="Times New Roman"/>
          <w:sz w:val="24"/>
          <w:szCs w:val="24"/>
        </w:rPr>
        <w:t>s</w:t>
      </w:r>
      <w:r w:rsidR="002033EC" w:rsidRPr="00857B21">
        <w:rPr>
          <w:rFonts w:ascii="Times New Roman" w:hAnsi="Times New Roman" w:cs="Times New Roman"/>
          <w:sz w:val="24"/>
          <w:szCs w:val="24"/>
        </w:rPr>
        <w:t xml:space="preserve"> a monetary aggregate, a</w:t>
      </w:r>
      <w:r w:rsidR="002033EC">
        <w:rPr>
          <w:rFonts w:ascii="Times New Roman" w:hAnsi="Times New Roman" w:cs="Times New Roman"/>
          <w:sz w:val="24"/>
          <w:szCs w:val="24"/>
        </w:rPr>
        <w:t xml:space="preserve">nd no macroeconomist advocates that they should, a huge change from the </w:t>
      </w:r>
      <w:r w:rsidR="003E3A94">
        <w:rPr>
          <w:rFonts w:ascii="Times New Roman" w:hAnsi="Times New Roman" w:cs="Times New Roman"/>
          <w:sz w:val="24"/>
          <w:szCs w:val="24"/>
        </w:rPr>
        <w:t>late</w:t>
      </w:r>
      <w:r w:rsidR="00120970">
        <w:rPr>
          <w:rFonts w:ascii="Times New Roman" w:hAnsi="Times New Roman" w:cs="Times New Roman"/>
          <w:sz w:val="24"/>
          <w:szCs w:val="24"/>
        </w:rPr>
        <w:t xml:space="preserve"> </w:t>
      </w:r>
      <w:r w:rsidR="002033EC">
        <w:rPr>
          <w:rFonts w:ascii="Times New Roman" w:hAnsi="Times New Roman" w:cs="Times New Roman"/>
          <w:sz w:val="24"/>
          <w:szCs w:val="24"/>
        </w:rPr>
        <w:t>1960s</w:t>
      </w:r>
      <w:r w:rsidR="003E3A94">
        <w:rPr>
          <w:rFonts w:ascii="Times New Roman" w:hAnsi="Times New Roman" w:cs="Times New Roman"/>
          <w:sz w:val="24"/>
          <w:szCs w:val="24"/>
        </w:rPr>
        <w:t xml:space="preserve">, </w:t>
      </w:r>
      <w:r w:rsidR="002033EC">
        <w:rPr>
          <w:rFonts w:ascii="Times New Roman" w:hAnsi="Times New Roman" w:cs="Times New Roman"/>
          <w:sz w:val="24"/>
          <w:szCs w:val="24"/>
        </w:rPr>
        <w:t>1970s</w:t>
      </w:r>
      <w:r w:rsidR="003E3A94">
        <w:rPr>
          <w:rFonts w:ascii="Times New Roman" w:hAnsi="Times New Roman" w:cs="Times New Roman"/>
          <w:sz w:val="24"/>
          <w:szCs w:val="24"/>
        </w:rPr>
        <w:t>, and 1980s</w:t>
      </w:r>
      <w:r w:rsidR="002033EC">
        <w:rPr>
          <w:rFonts w:ascii="Times New Roman" w:hAnsi="Times New Roman" w:cs="Times New Roman"/>
          <w:sz w:val="24"/>
          <w:szCs w:val="24"/>
        </w:rPr>
        <w:t>.</w:t>
      </w:r>
      <w:r w:rsidR="00A35A63">
        <w:rPr>
          <w:rFonts w:ascii="Times New Roman" w:hAnsi="Times New Roman" w:cs="Times New Roman"/>
          <w:sz w:val="24"/>
          <w:szCs w:val="24"/>
        </w:rPr>
        <w:t xml:space="preserve"> Taylor </w:t>
      </w:r>
      <w:r w:rsidR="00AB62C9">
        <w:rPr>
          <w:rFonts w:ascii="Times New Roman" w:hAnsi="Times New Roman" w:cs="Times New Roman"/>
          <w:sz w:val="24"/>
          <w:szCs w:val="24"/>
        </w:rPr>
        <w:t>quote</w:t>
      </w:r>
      <w:r w:rsidR="00A35A63">
        <w:rPr>
          <w:rFonts w:ascii="Times New Roman" w:hAnsi="Times New Roman" w:cs="Times New Roman"/>
          <w:sz w:val="24"/>
          <w:szCs w:val="24"/>
        </w:rPr>
        <w:t>s</w:t>
      </w:r>
      <w:r w:rsidR="00E131A1">
        <w:rPr>
          <w:rFonts w:ascii="Times New Roman" w:hAnsi="Times New Roman" w:cs="Times New Roman"/>
          <w:sz w:val="24"/>
          <w:szCs w:val="24"/>
        </w:rPr>
        <w:t xml:space="preserve"> Laidler in 1991</w:t>
      </w:r>
      <w:r w:rsidR="00AB62C9">
        <w:rPr>
          <w:rFonts w:ascii="Times New Roman" w:hAnsi="Times New Roman" w:cs="Times New Roman"/>
          <w:sz w:val="24"/>
          <w:szCs w:val="24"/>
        </w:rPr>
        <w:t xml:space="preserve"> throwing in the towel on his long advocacy</w:t>
      </w:r>
      <w:r w:rsidR="00670C18">
        <w:rPr>
          <w:rFonts w:ascii="Times New Roman" w:hAnsi="Times New Roman" w:cs="Times New Roman"/>
          <w:sz w:val="24"/>
          <w:szCs w:val="24"/>
        </w:rPr>
        <w:t xml:space="preserve"> of a mone</w:t>
      </w:r>
      <w:r w:rsidR="0079102C">
        <w:rPr>
          <w:rFonts w:ascii="Times New Roman" w:hAnsi="Times New Roman" w:cs="Times New Roman"/>
          <w:sz w:val="24"/>
          <w:szCs w:val="24"/>
        </w:rPr>
        <w:t>tary</w:t>
      </w:r>
      <w:r w:rsidR="00670C18">
        <w:rPr>
          <w:rFonts w:ascii="Times New Roman" w:hAnsi="Times New Roman" w:cs="Times New Roman"/>
          <w:sz w:val="24"/>
          <w:szCs w:val="24"/>
        </w:rPr>
        <w:t xml:space="preserve"> growth </w:t>
      </w:r>
      <w:r w:rsidR="00A35A63">
        <w:rPr>
          <w:rFonts w:ascii="Times New Roman" w:hAnsi="Times New Roman" w:cs="Times New Roman"/>
          <w:sz w:val="24"/>
          <w:szCs w:val="24"/>
        </w:rPr>
        <w:t>rule</w:t>
      </w:r>
      <w:r w:rsidR="00E44B8D">
        <w:rPr>
          <w:rFonts w:ascii="Times New Roman" w:hAnsi="Times New Roman" w:cs="Times New Roman"/>
          <w:sz w:val="24"/>
          <w:szCs w:val="24"/>
        </w:rPr>
        <w:t xml:space="preserve"> </w:t>
      </w:r>
      <w:r w:rsidR="00AB62C9">
        <w:rPr>
          <w:rFonts w:ascii="Times New Roman" w:hAnsi="Times New Roman" w:cs="Times New Roman"/>
          <w:sz w:val="24"/>
          <w:szCs w:val="24"/>
        </w:rPr>
        <w:t>(1993, p. 197).</w:t>
      </w:r>
      <w:r w:rsidR="00E131A1">
        <w:rPr>
          <w:rFonts w:ascii="Times New Roman" w:hAnsi="Times New Roman" w:cs="Times New Roman"/>
          <w:sz w:val="24"/>
          <w:szCs w:val="24"/>
        </w:rPr>
        <w:t xml:space="preserve">  But Taylor did</w:t>
      </w:r>
      <w:r w:rsidR="00A35A63">
        <w:rPr>
          <w:rFonts w:ascii="Times New Roman" w:hAnsi="Times New Roman" w:cs="Times New Roman"/>
          <w:sz w:val="24"/>
          <w:szCs w:val="24"/>
        </w:rPr>
        <w:t xml:space="preserve"> not want to</w:t>
      </w:r>
      <w:r w:rsidR="00E131A1">
        <w:rPr>
          <w:rFonts w:ascii="Times New Roman" w:hAnsi="Times New Roman" w:cs="Times New Roman"/>
          <w:sz w:val="24"/>
          <w:szCs w:val="24"/>
        </w:rPr>
        <w:t xml:space="preserve"> give up on rules: he </w:t>
      </w:r>
      <w:r w:rsidR="003721DB">
        <w:rPr>
          <w:rFonts w:ascii="Times New Roman" w:hAnsi="Times New Roman" w:cs="Times New Roman"/>
          <w:sz w:val="24"/>
          <w:szCs w:val="24"/>
        </w:rPr>
        <w:t xml:space="preserve">simply </w:t>
      </w:r>
      <w:r w:rsidR="00E131A1">
        <w:rPr>
          <w:rFonts w:ascii="Times New Roman" w:hAnsi="Times New Roman" w:cs="Times New Roman"/>
          <w:sz w:val="24"/>
          <w:szCs w:val="24"/>
        </w:rPr>
        <w:t>wanted</w:t>
      </w:r>
      <w:r w:rsidR="003721DB">
        <w:rPr>
          <w:rFonts w:ascii="Times New Roman" w:hAnsi="Times New Roman" w:cs="Times New Roman"/>
          <w:sz w:val="24"/>
          <w:szCs w:val="24"/>
        </w:rPr>
        <w:t xml:space="preserve"> </w:t>
      </w:r>
      <w:r w:rsidR="00E131A1">
        <w:rPr>
          <w:rFonts w:ascii="Times New Roman" w:hAnsi="Times New Roman" w:cs="Times New Roman"/>
          <w:sz w:val="24"/>
          <w:szCs w:val="24"/>
        </w:rPr>
        <w:t>one that would better desc</w:t>
      </w:r>
      <w:r w:rsidR="003E3A94">
        <w:rPr>
          <w:rFonts w:ascii="Times New Roman" w:hAnsi="Times New Roman" w:cs="Times New Roman"/>
          <w:sz w:val="24"/>
          <w:szCs w:val="24"/>
        </w:rPr>
        <w:t>ribe what central banks actually</w:t>
      </w:r>
      <w:r w:rsidR="00E131A1">
        <w:rPr>
          <w:rFonts w:ascii="Times New Roman" w:hAnsi="Times New Roman" w:cs="Times New Roman"/>
          <w:sz w:val="24"/>
          <w:szCs w:val="24"/>
        </w:rPr>
        <w:t xml:space="preserve"> did</w:t>
      </w:r>
      <w:r w:rsidR="00120970">
        <w:rPr>
          <w:rFonts w:ascii="Times New Roman" w:hAnsi="Times New Roman" w:cs="Times New Roman"/>
          <w:sz w:val="24"/>
          <w:szCs w:val="24"/>
        </w:rPr>
        <w:t xml:space="preserve"> most of the time</w:t>
      </w:r>
      <w:r w:rsidR="00E131A1">
        <w:rPr>
          <w:rFonts w:ascii="Times New Roman" w:hAnsi="Times New Roman" w:cs="Times New Roman"/>
          <w:sz w:val="24"/>
          <w:szCs w:val="24"/>
        </w:rPr>
        <w:t xml:space="preserve"> and provide a standard against which their policies might </w:t>
      </w:r>
      <w:r w:rsidR="003721DB">
        <w:rPr>
          <w:rFonts w:ascii="Times New Roman" w:hAnsi="Times New Roman" w:cs="Times New Roman"/>
          <w:sz w:val="24"/>
          <w:szCs w:val="24"/>
        </w:rPr>
        <w:t xml:space="preserve">be </w:t>
      </w:r>
      <w:r w:rsidR="00682A82">
        <w:rPr>
          <w:rFonts w:ascii="Times New Roman" w:hAnsi="Times New Roman" w:cs="Times New Roman"/>
          <w:sz w:val="24"/>
          <w:szCs w:val="24"/>
        </w:rPr>
        <w:t>judged</w:t>
      </w:r>
      <w:r w:rsidR="00E131A1">
        <w:rPr>
          <w:rFonts w:ascii="Times New Roman" w:hAnsi="Times New Roman" w:cs="Times New Roman"/>
          <w:sz w:val="24"/>
          <w:szCs w:val="24"/>
        </w:rPr>
        <w:t>.</w:t>
      </w:r>
    </w:p>
    <w:p w14:paraId="6D7B61BB" w14:textId="0F1AABF1" w:rsidR="0014508B" w:rsidRPr="009F3FFE" w:rsidRDefault="00E131A1" w:rsidP="0014508B">
      <w:pPr>
        <w:spacing w:line="480" w:lineRule="auto"/>
        <w:ind w:firstLine="576"/>
        <w:rPr>
          <w:rFonts w:ascii="Times New Roman" w:hAnsi="Times New Roman" w:cs="Times New Roman"/>
          <w:sz w:val="24"/>
          <w:szCs w:val="24"/>
        </w:rPr>
      </w:pPr>
      <w:r>
        <w:rPr>
          <w:rFonts w:ascii="Times New Roman" w:hAnsi="Times New Roman" w:cs="Times New Roman"/>
          <w:sz w:val="24"/>
          <w:szCs w:val="24"/>
        </w:rPr>
        <w:t>The stated</w:t>
      </w:r>
      <w:r w:rsidR="0014508B" w:rsidRPr="009F3FFE">
        <w:rPr>
          <w:rFonts w:ascii="Times New Roman" w:hAnsi="Times New Roman" w:cs="Times New Roman"/>
          <w:sz w:val="24"/>
          <w:szCs w:val="24"/>
        </w:rPr>
        <w:t xml:space="preserve"> rationale for t</w:t>
      </w:r>
      <w:r w:rsidR="00307762">
        <w:rPr>
          <w:rFonts w:ascii="Times New Roman" w:hAnsi="Times New Roman" w:cs="Times New Roman"/>
          <w:sz w:val="24"/>
          <w:szCs w:val="24"/>
        </w:rPr>
        <w:t>he functional form of Taylor’s rule</w:t>
      </w:r>
      <w:r w:rsidR="0014508B">
        <w:rPr>
          <w:rFonts w:ascii="Times New Roman" w:hAnsi="Times New Roman" w:cs="Times New Roman"/>
          <w:sz w:val="24"/>
          <w:szCs w:val="24"/>
        </w:rPr>
        <w:t xml:space="preserve"> was</w:t>
      </w:r>
      <w:r w:rsidR="00120970">
        <w:rPr>
          <w:rFonts w:ascii="Times New Roman" w:hAnsi="Times New Roman" w:cs="Times New Roman"/>
          <w:sz w:val="24"/>
          <w:szCs w:val="24"/>
        </w:rPr>
        <w:t xml:space="preserve"> therefore</w:t>
      </w:r>
      <w:r w:rsidR="0014508B" w:rsidRPr="009F3FFE">
        <w:rPr>
          <w:rFonts w:ascii="Times New Roman" w:hAnsi="Times New Roman" w:cs="Times New Roman"/>
          <w:sz w:val="24"/>
          <w:szCs w:val="24"/>
        </w:rPr>
        <w:t xml:space="preserve"> not </w:t>
      </w:r>
      <w:r w:rsidR="001C293E">
        <w:rPr>
          <w:rFonts w:ascii="Times New Roman" w:hAnsi="Times New Roman" w:cs="Times New Roman"/>
          <w:sz w:val="24"/>
          <w:szCs w:val="24"/>
        </w:rPr>
        <w:t xml:space="preserve">the </w:t>
      </w:r>
      <w:r w:rsidR="0014508B">
        <w:rPr>
          <w:rFonts w:ascii="Times New Roman" w:hAnsi="Times New Roman" w:cs="Times New Roman"/>
          <w:sz w:val="24"/>
          <w:szCs w:val="24"/>
        </w:rPr>
        <w:t xml:space="preserve">then </w:t>
      </w:r>
      <w:r w:rsidR="0014508B" w:rsidRPr="009F3FFE">
        <w:rPr>
          <w:rFonts w:ascii="Times New Roman" w:hAnsi="Times New Roman" w:cs="Times New Roman"/>
          <w:sz w:val="24"/>
          <w:szCs w:val="24"/>
        </w:rPr>
        <w:t xml:space="preserve">recent </w:t>
      </w:r>
      <w:r w:rsidR="00476306">
        <w:rPr>
          <w:rFonts w:ascii="Times New Roman" w:hAnsi="Times New Roman" w:cs="Times New Roman"/>
          <w:sz w:val="24"/>
          <w:szCs w:val="24"/>
        </w:rPr>
        <w:t xml:space="preserve">(and disappointing) </w:t>
      </w:r>
      <w:r w:rsidR="0014508B" w:rsidRPr="009F3FFE">
        <w:rPr>
          <w:rFonts w:ascii="Times New Roman" w:hAnsi="Times New Roman" w:cs="Times New Roman"/>
          <w:sz w:val="24"/>
          <w:szCs w:val="24"/>
        </w:rPr>
        <w:t>policy experience</w:t>
      </w:r>
      <w:r w:rsidR="00A35A63">
        <w:rPr>
          <w:rFonts w:ascii="Times New Roman" w:hAnsi="Times New Roman" w:cs="Times New Roman"/>
          <w:sz w:val="24"/>
          <w:szCs w:val="24"/>
        </w:rPr>
        <w:t xml:space="preserve"> with constant growth rate mandates</w:t>
      </w:r>
      <w:r w:rsidR="0014508B" w:rsidRPr="009F3FFE">
        <w:rPr>
          <w:rFonts w:ascii="Times New Roman" w:hAnsi="Times New Roman" w:cs="Times New Roman"/>
          <w:sz w:val="24"/>
          <w:szCs w:val="24"/>
        </w:rPr>
        <w:t>, but rather the superior performance in terms of variability of prices an</w:t>
      </w:r>
      <w:r w:rsidR="00A35A63">
        <w:rPr>
          <w:rFonts w:ascii="Times New Roman" w:hAnsi="Times New Roman" w:cs="Times New Roman"/>
          <w:sz w:val="24"/>
          <w:szCs w:val="24"/>
        </w:rPr>
        <w:t xml:space="preserve">d output </w:t>
      </w:r>
      <w:r w:rsidR="0014508B">
        <w:rPr>
          <w:rFonts w:ascii="Times New Roman" w:hAnsi="Times New Roman" w:cs="Times New Roman"/>
          <w:sz w:val="24"/>
          <w:szCs w:val="24"/>
        </w:rPr>
        <w:t>of a rule that focused</w:t>
      </w:r>
      <w:r w:rsidR="0014508B" w:rsidRPr="009F3FFE">
        <w:rPr>
          <w:rFonts w:ascii="Times New Roman" w:hAnsi="Times New Roman" w:cs="Times New Roman"/>
          <w:sz w:val="24"/>
          <w:szCs w:val="24"/>
        </w:rPr>
        <w:t xml:space="preserve"> on these variable</w:t>
      </w:r>
      <w:r w:rsidR="003721DB">
        <w:rPr>
          <w:rFonts w:ascii="Times New Roman" w:hAnsi="Times New Roman" w:cs="Times New Roman"/>
          <w:sz w:val="24"/>
          <w:szCs w:val="24"/>
        </w:rPr>
        <w:t>s</w:t>
      </w:r>
      <w:r w:rsidR="0014508B" w:rsidRPr="009F3FFE">
        <w:rPr>
          <w:rFonts w:ascii="Times New Roman" w:hAnsi="Times New Roman" w:cs="Times New Roman"/>
          <w:sz w:val="24"/>
          <w:szCs w:val="24"/>
        </w:rPr>
        <w:t xml:space="preserve"> directly, as oppos</w:t>
      </w:r>
      <w:r w:rsidR="0014508B">
        <w:rPr>
          <w:rFonts w:ascii="Times New Roman" w:hAnsi="Times New Roman" w:cs="Times New Roman"/>
          <w:sz w:val="24"/>
          <w:szCs w:val="24"/>
        </w:rPr>
        <w:t xml:space="preserve">ed to a </w:t>
      </w:r>
      <w:r w:rsidR="00A35A63">
        <w:rPr>
          <w:rFonts w:ascii="Times New Roman" w:hAnsi="Times New Roman" w:cs="Times New Roman"/>
          <w:sz w:val="24"/>
          <w:szCs w:val="24"/>
        </w:rPr>
        <w:t xml:space="preserve">monetary aggregate or </w:t>
      </w:r>
      <w:r w:rsidR="0014508B" w:rsidRPr="009F3FFE">
        <w:rPr>
          <w:rFonts w:ascii="Times New Roman" w:hAnsi="Times New Roman" w:cs="Times New Roman"/>
          <w:sz w:val="24"/>
          <w:szCs w:val="24"/>
        </w:rPr>
        <w:t>exchange rate target.  Without referrin</w:t>
      </w:r>
      <w:r w:rsidR="0014508B">
        <w:rPr>
          <w:rFonts w:ascii="Times New Roman" w:hAnsi="Times New Roman" w:cs="Times New Roman"/>
          <w:sz w:val="24"/>
          <w:szCs w:val="24"/>
        </w:rPr>
        <w:t xml:space="preserve">g </w:t>
      </w:r>
      <w:r w:rsidR="0014508B">
        <w:rPr>
          <w:rFonts w:ascii="Times New Roman" w:hAnsi="Times New Roman" w:cs="Times New Roman"/>
          <w:sz w:val="24"/>
          <w:szCs w:val="24"/>
        </w:rPr>
        <w:lastRenderedPageBreak/>
        <w:t>to</w:t>
      </w:r>
      <w:r w:rsidR="00A35A63">
        <w:rPr>
          <w:rFonts w:ascii="Times New Roman" w:hAnsi="Times New Roman" w:cs="Times New Roman"/>
          <w:sz w:val="24"/>
          <w:szCs w:val="24"/>
        </w:rPr>
        <w:t xml:space="preserve"> the</w:t>
      </w:r>
      <w:r w:rsidR="0014508B">
        <w:rPr>
          <w:rFonts w:ascii="Times New Roman" w:hAnsi="Times New Roman" w:cs="Times New Roman"/>
          <w:sz w:val="24"/>
          <w:szCs w:val="24"/>
        </w:rPr>
        <w:t xml:space="preserve"> monetarist experiments </w:t>
      </w:r>
      <w:r w:rsidR="001C293E">
        <w:rPr>
          <w:rFonts w:ascii="Times New Roman" w:hAnsi="Times New Roman" w:cs="Times New Roman"/>
          <w:sz w:val="24"/>
          <w:szCs w:val="24"/>
        </w:rPr>
        <w:t>specifically</w:t>
      </w:r>
      <w:r w:rsidR="0014508B">
        <w:rPr>
          <w:rFonts w:ascii="Times New Roman" w:hAnsi="Times New Roman" w:cs="Times New Roman"/>
          <w:sz w:val="24"/>
          <w:szCs w:val="24"/>
        </w:rPr>
        <w:t>, Taylor simply said that a monetary growth rule was</w:t>
      </w:r>
      <w:r w:rsidR="0014508B" w:rsidRPr="009F3FFE">
        <w:rPr>
          <w:rFonts w:ascii="Times New Roman" w:hAnsi="Times New Roman" w:cs="Times New Roman"/>
          <w:sz w:val="24"/>
          <w:szCs w:val="24"/>
        </w:rPr>
        <w:t xml:space="preserve"> “not practical” (</w:t>
      </w:r>
      <w:r w:rsidR="0014508B">
        <w:rPr>
          <w:rFonts w:ascii="Times New Roman" w:hAnsi="Times New Roman" w:cs="Times New Roman"/>
          <w:sz w:val="24"/>
          <w:szCs w:val="24"/>
        </w:rPr>
        <w:t xml:space="preserve">1993, </w:t>
      </w:r>
      <w:r w:rsidR="0014508B" w:rsidRPr="009F3FFE">
        <w:rPr>
          <w:rFonts w:ascii="Times New Roman" w:hAnsi="Times New Roman" w:cs="Times New Roman"/>
          <w:sz w:val="24"/>
          <w:szCs w:val="24"/>
        </w:rPr>
        <w:t>p</w:t>
      </w:r>
      <w:r w:rsidR="002033EC">
        <w:rPr>
          <w:rFonts w:ascii="Times New Roman" w:hAnsi="Times New Roman" w:cs="Times New Roman"/>
          <w:sz w:val="24"/>
          <w:szCs w:val="24"/>
        </w:rPr>
        <w:t>p</w:t>
      </w:r>
      <w:r w:rsidR="0014508B" w:rsidRPr="009F3FFE">
        <w:rPr>
          <w:rFonts w:ascii="Times New Roman" w:hAnsi="Times New Roman" w:cs="Times New Roman"/>
          <w:sz w:val="24"/>
          <w:szCs w:val="24"/>
        </w:rPr>
        <w:t xml:space="preserve">. </w:t>
      </w:r>
      <w:r w:rsidR="002033EC">
        <w:rPr>
          <w:rFonts w:ascii="Times New Roman" w:hAnsi="Times New Roman" w:cs="Times New Roman"/>
          <w:sz w:val="24"/>
          <w:szCs w:val="24"/>
        </w:rPr>
        <w:t xml:space="preserve">200, </w:t>
      </w:r>
      <w:r w:rsidR="0014508B" w:rsidRPr="009F3FFE">
        <w:rPr>
          <w:rFonts w:ascii="Times New Roman" w:hAnsi="Times New Roman" w:cs="Times New Roman"/>
          <w:sz w:val="24"/>
          <w:szCs w:val="24"/>
        </w:rPr>
        <w:t>208).</w:t>
      </w:r>
      <w:r w:rsidR="00307762">
        <w:rPr>
          <w:rFonts w:ascii="Times New Roman" w:hAnsi="Times New Roman" w:cs="Times New Roman"/>
          <w:sz w:val="24"/>
          <w:szCs w:val="24"/>
        </w:rPr>
        <w:t xml:space="preserve"> </w:t>
      </w:r>
      <w:r w:rsidR="001C293E">
        <w:rPr>
          <w:rFonts w:ascii="Times New Roman" w:hAnsi="Times New Roman" w:cs="Times New Roman"/>
          <w:sz w:val="24"/>
          <w:szCs w:val="24"/>
        </w:rPr>
        <w:t xml:space="preserve"> </w:t>
      </w:r>
    </w:p>
    <w:p w14:paraId="62F4EBEE" w14:textId="39861C23" w:rsidR="001B5CE0" w:rsidRPr="009F3FFE" w:rsidRDefault="00307762" w:rsidP="009F3FFE">
      <w:pPr>
        <w:spacing w:line="480" w:lineRule="auto"/>
        <w:ind w:firstLine="576"/>
        <w:rPr>
          <w:rFonts w:ascii="Times New Roman" w:hAnsi="Times New Roman" w:cs="Times New Roman"/>
          <w:sz w:val="24"/>
          <w:szCs w:val="24"/>
        </w:rPr>
      </w:pPr>
      <w:r>
        <w:rPr>
          <w:rFonts w:ascii="Times New Roman" w:hAnsi="Times New Roman" w:cs="Times New Roman"/>
          <w:sz w:val="24"/>
          <w:szCs w:val="24"/>
        </w:rPr>
        <w:t>Taylor</w:t>
      </w:r>
      <w:r w:rsidR="006E1BF7" w:rsidRPr="009F3FFE">
        <w:rPr>
          <w:rFonts w:ascii="Times New Roman" w:hAnsi="Times New Roman" w:cs="Times New Roman"/>
          <w:sz w:val="24"/>
          <w:szCs w:val="24"/>
        </w:rPr>
        <w:t xml:space="preserve"> </w:t>
      </w:r>
      <w:r w:rsidR="00E92720" w:rsidRPr="009F3FFE">
        <w:rPr>
          <w:rFonts w:ascii="Times New Roman" w:hAnsi="Times New Roman" w:cs="Times New Roman"/>
          <w:sz w:val="24"/>
          <w:szCs w:val="24"/>
        </w:rPr>
        <w:t>began by positing</w:t>
      </w:r>
      <w:r w:rsidR="001B5CE0" w:rsidRPr="009F3FFE">
        <w:rPr>
          <w:rFonts w:ascii="Times New Roman" w:hAnsi="Times New Roman" w:cs="Times New Roman"/>
          <w:sz w:val="24"/>
          <w:szCs w:val="24"/>
        </w:rPr>
        <w:t xml:space="preserve"> a lon</w:t>
      </w:r>
      <w:r w:rsidR="009F3FFE">
        <w:rPr>
          <w:rFonts w:ascii="Times New Roman" w:hAnsi="Times New Roman" w:cs="Times New Roman"/>
          <w:sz w:val="24"/>
          <w:szCs w:val="24"/>
        </w:rPr>
        <w:t xml:space="preserve">g </w:t>
      </w:r>
      <w:r>
        <w:rPr>
          <w:rFonts w:ascii="Times New Roman" w:hAnsi="Times New Roman" w:cs="Times New Roman"/>
          <w:sz w:val="24"/>
          <w:szCs w:val="24"/>
        </w:rPr>
        <w:t>run</w:t>
      </w:r>
      <w:r w:rsidR="008208D6">
        <w:rPr>
          <w:rFonts w:ascii="Times New Roman" w:hAnsi="Times New Roman" w:cs="Times New Roman"/>
          <w:sz w:val="24"/>
          <w:szCs w:val="24"/>
        </w:rPr>
        <w:t xml:space="preserve"> real interest rate of two</w:t>
      </w:r>
      <w:r w:rsidR="002033EC">
        <w:rPr>
          <w:rFonts w:ascii="Times New Roman" w:hAnsi="Times New Roman" w:cs="Times New Roman"/>
          <w:sz w:val="24"/>
          <w:szCs w:val="24"/>
        </w:rPr>
        <w:t xml:space="preserve"> </w:t>
      </w:r>
      <w:r w:rsidR="003E3A94">
        <w:rPr>
          <w:rFonts w:ascii="Times New Roman" w:hAnsi="Times New Roman" w:cs="Times New Roman"/>
          <w:sz w:val="24"/>
          <w:szCs w:val="24"/>
        </w:rPr>
        <w:t>percent.  This</w:t>
      </w:r>
      <w:r w:rsidR="009F3FFE">
        <w:rPr>
          <w:rFonts w:ascii="Times New Roman" w:hAnsi="Times New Roman" w:cs="Times New Roman"/>
          <w:sz w:val="24"/>
          <w:szCs w:val="24"/>
        </w:rPr>
        <w:t xml:space="preserve"> was</w:t>
      </w:r>
      <w:r w:rsidR="00110B0D" w:rsidRPr="009F3FFE">
        <w:rPr>
          <w:rFonts w:ascii="Times New Roman" w:hAnsi="Times New Roman" w:cs="Times New Roman"/>
          <w:sz w:val="24"/>
          <w:szCs w:val="24"/>
        </w:rPr>
        <w:t xml:space="preserve"> the</w:t>
      </w:r>
      <w:r w:rsidR="00A35A63">
        <w:rPr>
          <w:rFonts w:ascii="Times New Roman" w:hAnsi="Times New Roman" w:cs="Times New Roman"/>
          <w:sz w:val="24"/>
          <w:szCs w:val="24"/>
        </w:rPr>
        <w:t xml:space="preserve"> Wicksellian natural</w:t>
      </w:r>
      <w:r w:rsidR="006E1BF7" w:rsidRPr="009F3FFE">
        <w:rPr>
          <w:rFonts w:ascii="Times New Roman" w:hAnsi="Times New Roman" w:cs="Times New Roman"/>
          <w:sz w:val="24"/>
          <w:szCs w:val="24"/>
        </w:rPr>
        <w:t xml:space="preserve"> </w:t>
      </w:r>
      <w:r w:rsidR="001B5CE0" w:rsidRPr="009F3FFE">
        <w:rPr>
          <w:rFonts w:ascii="Times New Roman" w:hAnsi="Times New Roman" w:cs="Times New Roman"/>
          <w:sz w:val="24"/>
          <w:szCs w:val="24"/>
        </w:rPr>
        <w:t>rate at which</w:t>
      </w:r>
      <w:r w:rsidR="00A35A63">
        <w:rPr>
          <w:rFonts w:ascii="Times New Roman" w:hAnsi="Times New Roman" w:cs="Times New Roman"/>
          <w:sz w:val="24"/>
          <w:szCs w:val="24"/>
        </w:rPr>
        <w:t>, Taylor</w:t>
      </w:r>
      <w:r w:rsidR="001C0501" w:rsidRPr="009F3FFE">
        <w:rPr>
          <w:rFonts w:ascii="Times New Roman" w:hAnsi="Times New Roman" w:cs="Times New Roman"/>
          <w:sz w:val="24"/>
          <w:szCs w:val="24"/>
        </w:rPr>
        <w:t xml:space="preserve"> assumed,</w:t>
      </w:r>
      <w:r w:rsidR="006E1BF7" w:rsidRPr="009F3FFE">
        <w:rPr>
          <w:rFonts w:ascii="Times New Roman" w:hAnsi="Times New Roman" w:cs="Times New Roman"/>
          <w:sz w:val="24"/>
          <w:szCs w:val="24"/>
        </w:rPr>
        <w:t xml:space="preserve"> </w:t>
      </w:r>
      <w:r>
        <w:rPr>
          <w:rFonts w:ascii="Times New Roman" w:hAnsi="Times New Roman" w:cs="Times New Roman"/>
          <w:sz w:val="24"/>
          <w:szCs w:val="24"/>
        </w:rPr>
        <w:t xml:space="preserve">actual </w:t>
      </w:r>
      <w:r w:rsidR="001B5CE0" w:rsidRPr="009F3FFE">
        <w:rPr>
          <w:rFonts w:ascii="Times New Roman" w:hAnsi="Times New Roman" w:cs="Times New Roman"/>
          <w:sz w:val="24"/>
          <w:szCs w:val="24"/>
        </w:rPr>
        <w:t>out</w:t>
      </w:r>
      <w:r w:rsidR="00110B0D" w:rsidRPr="009F3FFE">
        <w:rPr>
          <w:rFonts w:ascii="Times New Roman" w:hAnsi="Times New Roman" w:cs="Times New Roman"/>
          <w:sz w:val="24"/>
          <w:szCs w:val="24"/>
        </w:rPr>
        <w:t>put would equal potential</w:t>
      </w:r>
      <w:r w:rsidR="00A274FD" w:rsidRPr="009F3FFE">
        <w:rPr>
          <w:rFonts w:ascii="Times New Roman" w:hAnsi="Times New Roman" w:cs="Times New Roman"/>
          <w:sz w:val="24"/>
          <w:szCs w:val="24"/>
        </w:rPr>
        <w:t xml:space="preserve">. </w:t>
      </w:r>
      <w:r>
        <w:rPr>
          <w:rFonts w:ascii="Times New Roman" w:hAnsi="Times New Roman" w:cs="Times New Roman"/>
          <w:sz w:val="24"/>
          <w:szCs w:val="24"/>
        </w:rPr>
        <w:t>He assumed an inflation target of</w:t>
      </w:r>
      <w:r w:rsidR="008208D6">
        <w:rPr>
          <w:rFonts w:ascii="Times New Roman" w:hAnsi="Times New Roman" w:cs="Times New Roman"/>
          <w:sz w:val="24"/>
          <w:szCs w:val="24"/>
        </w:rPr>
        <w:t xml:space="preserve"> two</w:t>
      </w:r>
      <w:r w:rsidR="001B5CE0" w:rsidRPr="009F3FFE">
        <w:rPr>
          <w:rFonts w:ascii="Times New Roman" w:hAnsi="Times New Roman" w:cs="Times New Roman"/>
          <w:sz w:val="24"/>
          <w:szCs w:val="24"/>
        </w:rPr>
        <w:t xml:space="preserve"> percent</w:t>
      </w:r>
      <w:r w:rsidR="009F3FFE">
        <w:rPr>
          <w:rFonts w:ascii="Times New Roman" w:hAnsi="Times New Roman" w:cs="Times New Roman"/>
          <w:sz w:val="24"/>
          <w:szCs w:val="24"/>
        </w:rPr>
        <w:t>.</w:t>
      </w:r>
      <w:r>
        <w:rPr>
          <w:rFonts w:ascii="Times New Roman" w:hAnsi="Times New Roman" w:cs="Times New Roman"/>
          <w:sz w:val="24"/>
          <w:szCs w:val="24"/>
        </w:rPr>
        <w:t xml:space="preserve">  </w:t>
      </w:r>
      <w:r w:rsidR="001B5CE0" w:rsidRPr="009F3FFE">
        <w:rPr>
          <w:rFonts w:ascii="Times New Roman" w:hAnsi="Times New Roman" w:cs="Times New Roman"/>
          <w:sz w:val="24"/>
          <w:szCs w:val="24"/>
        </w:rPr>
        <w:t>Friedman had argu</w:t>
      </w:r>
      <w:r w:rsidR="00A35A63">
        <w:rPr>
          <w:rFonts w:ascii="Times New Roman" w:hAnsi="Times New Roman" w:cs="Times New Roman"/>
          <w:sz w:val="24"/>
          <w:szCs w:val="24"/>
        </w:rPr>
        <w:t>ed for</w:t>
      </w:r>
      <w:r w:rsidR="00421659">
        <w:rPr>
          <w:rFonts w:ascii="Times New Roman" w:hAnsi="Times New Roman" w:cs="Times New Roman"/>
          <w:sz w:val="24"/>
          <w:szCs w:val="24"/>
        </w:rPr>
        <w:t xml:space="preserve"> slight deflation </w:t>
      </w:r>
      <w:r w:rsidR="00A35A63">
        <w:rPr>
          <w:rFonts w:ascii="Times New Roman" w:hAnsi="Times New Roman" w:cs="Times New Roman"/>
          <w:sz w:val="24"/>
          <w:szCs w:val="24"/>
        </w:rPr>
        <w:t>as</w:t>
      </w:r>
      <w:r>
        <w:rPr>
          <w:rFonts w:ascii="Times New Roman" w:hAnsi="Times New Roman" w:cs="Times New Roman"/>
          <w:sz w:val="24"/>
          <w:szCs w:val="24"/>
        </w:rPr>
        <w:t xml:space="preserve"> optimal, since it </w:t>
      </w:r>
      <w:r w:rsidR="00421659">
        <w:rPr>
          <w:rFonts w:ascii="Times New Roman" w:hAnsi="Times New Roman" w:cs="Times New Roman"/>
          <w:sz w:val="24"/>
          <w:szCs w:val="24"/>
        </w:rPr>
        <w:t xml:space="preserve">minimized </w:t>
      </w:r>
      <w:r w:rsidR="009F3FFE">
        <w:rPr>
          <w:rFonts w:ascii="Times New Roman" w:hAnsi="Times New Roman" w:cs="Times New Roman"/>
          <w:sz w:val="24"/>
          <w:szCs w:val="24"/>
        </w:rPr>
        <w:t xml:space="preserve">cash management </w:t>
      </w:r>
      <w:r w:rsidR="008208D6">
        <w:rPr>
          <w:rFonts w:ascii="Times New Roman" w:hAnsi="Times New Roman" w:cs="Times New Roman"/>
          <w:sz w:val="24"/>
          <w:szCs w:val="24"/>
        </w:rPr>
        <w:t>cos</w:t>
      </w:r>
      <w:r w:rsidR="005A5CD4">
        <w:rPr>
          <w:rFonts w:ascii="Times New Roman" w:hAnsi="Times New Roman" w:cs="Times New Roman"/>
          <w:sz w:val="24"/>
          <w:szCs w:val="24"/>
        </w:rPr>
        <w:t>ts.</w:t>
      </w:r>
      <w:r w:rsidR="0079102C">
        <w:rPr>
          <w:rFonts w:ascii="Times New Roman" w:hAnsi="Times New Roman" w:cs="Times New Roman"/>
          <w:sz w:val="24"/>
          <w:szCs w:val="24"/>
        </w:rPr>
        <w:t xml:space="preserve"> B</w:t>
      </w:r>
      <w:r w:rsidR="008208D6">
        <w:rPr>
          <w:rFonts w:ascii="Times New Roman" w:hAnsi="Times New Roman" w:cs="Times New Roman"/>
          <w:sz w:val="24"/>
          <w:szCs w:val="24"/>
        </w:rPr>
        <w:t>ut two</w:t>
      </w:r>
      <w:r w:rsidR="001749C1" w:rsidRPr="009F3FFE">
        <w:rPr>
          <w:rFonts w:ascii="Times New Roman" w:hAnsi="Times New Roman" w:cs="Times New Roman"/>
          <w:sz w:val="24"/>
          <w:szCs w:val="24"/>
        </w:rPr>
        <w:t xml:space="preserve"> percent was low and provided</w:t>
      </w:r>
      <w:r w:rsidR="001B5CE0" w:rsidRPr="009F3FFE">
        <w:rPr>
          <w:rFonts w:ascii="Times New Roman" w:hAnsi="Times New Roman" w:cs="Times New Roman"/>
          <w:sz w:val="24"/>
          <w:szCs w:val="24"/>
        </w:rPr>
        <w:t xml:space="preserve"> some cushion </w:t>
      </w:r>
      <w:r w:rsidR="00A35A63">
        <w:rPr>
          <w:rFonts w:ascii="Times New Roman" w:hAnsi="Times New Roman" w:cs="Times New Roman"/>
          <w:sz w:val="24"/>
          <w:szCs w:val="24"/>
        </w:rPr>
        <w:t xml:space="preserve">against the </w:t>
      </w:r>
      <w:r w:rsidR="005A5CD4">
        <w:rPr>
          <w:rFonts w:ascii="Times New Roman" w:hAnsi="Times New Roman" w:cs="Times New Roman"/>
          <w:sz w:val="24"/>
          <w:szCs w:val="24"/>
        </w:rPr>
        <w:t xml:space="preserve">possible </w:t>
      </w:r>
      <w:r w:rsidR="00A35A63">
        <w:rPr>
          <w:rFonts w:ascii="Times New Roman" w:hAnsi="Times New Roman" w:cs="Times New Roman"/>
          <w:sz w:val="24"/>
          <w:szCs w:val="24"/>
        </w:rPr>
        <w:t>danger of deflation and the asymmetry</w:t>
      </w:r>
      <w:r w:rsidR="00E131A1">
        <w:rPr>
          <w:rFonts w:ascii="Times New Roman" w:hAnsi="Times New Roman" w:cs="Times New Roman"/>
          <w:sz w:val="24"/>
          <w:szCs w:val="24"/>
        </w:rPr>
        <w:t xml:space="preserve"> implied</w:t>
      </w:r>
      <w:r w:rsidR="00A35A63">
        <w:rPr>
          <w:rFonts w:ascii="Times New Roman" w:hAnsi="Times New Roman" w:cs="Times New Roman"/>
          <w:sz w:val="24"/>
          <w:szCs w:val="24"/>
        </w:rPr>
        <w:t xml:space="preserve"> by the zero lower bound on nominal interest rates.</w:t>
      </w:r>
      <w:r w:rsidR="00360717">
        <w:rPr>
          <w:rStyle w:val="FootnoteReference"/>
          <w:rFonts w:ascii="Times New Roman" w:hAnsi="Times New Roman" w:cs="Times New Roman"/>
          <w:sz w:val="24"/>
          <w:szCs w:val="24"/>
        </w:rPr>
        <w:footnoteReference w:id="5"/>
      </w:r>
      <w:r w:rsidR="008208D6">
        <w:rPr>
          <w:rFonts w:ascii="Times New Roman" w:hAnsi="Times New Roman" w:cs="Times New Roman"/>
          <w:sz w:val="24"/>
          <w:szCs w:val="24"/>
        </w:rPr>
        <w:t xml:space="preserve">  A two</w:t>
      </w:r>
      <w:r w:rsidR="001C0501" w:rsidRPr="009F3FFE">
        <w:rPr>
          <w:rFonts w:ascii="Times New Roman" w:hAnsi="Times New Roman" w:cs="Times New Roman"/>
          <w:sz w:val="24"/>
          <w:szCs w:val="24"/>
        </w:rPr>
        <w:t xml:space="preserve"> percent </w:t>
      </w:r>
      <w:r w:rsidR="00A35A63">
        <w:rPr>
          <w:rFonts w:ascii="Times New Roman" w:hAnsi="Times New Roman" w:cs="Times New Roman"/>
          <w:sz w:val="24"/>
          <w:szCs w:val="24"/>
        </w:rPr>
        <w:t xml:space="preserve">inflation </w:t>
      </w:r>
      <w:r w:rsidR="001C0501" w:rsidRPr="009F3FFE">
        <w:rPr>
          <w:rFonts w:ascii="Times New Roman" w:hAnsi="Times New Roman" w:cs="Times New Roman"/>
          <w:sz w:val="24"/>
          <w:szCs w:val="24"/>
        </w:rPr>
        <w:t xml:space="preserve">target </w:t>
      </w:r>
      <w:r w:rsidR="00670C18">
        <w:rPr>
          <w:rFonts w:ascii="Times New Roman" w:hAnsi="Times New Roman" w:cs="Times New Roman"/>
          <w:sz w:val="24"/>
          <w:szCs w:val="24"/>
        </w:rPr>
        <w:t>h</w:t>
      </w:r>
      <w:r w:rsidR="009F3FFE">
        <w:rPr>
          <w:rFonts w:ascii="Times New Roman" w:hAnsi="Times New Roman" w:cs="Times New Roman"/>
          <w:sz w:val="24"/>
          <w:szCs w:val="24"/>
        </w:rPr>
        <w:t>as subsequently</w:t>
      </w:r>
      <w:r w:rsidR="001C0501" w:rsidRPr="009F3FFE">
        <w:rPr>
          <w:rFonts w:ascii="Times New Roman" w:hAnsi="Times New Roman" w:cs="Times New Roman"/>
          <w:sz w:val="24"/>
          <w:szCs w:val="24"/>
        </w:rPr>
        <w:t xml:space="preserve"> </w:t>
      </w:r>
      <w:r w:rsidR="00670C18">
        <w:rPr>
          <w:rFonts w:ascii="Times New Roman" w:hAnsi="Times New Roman" w:cs="Times New Roman"/>
          <w:sz w:val="24"/>
          <w:szCs w:val="24"/>
        </w:rPr>
        <w:t xml:space="preserve">been </w:t>
      </w:r>
      <w:r w:rsidR="001C0501" w:rsidRPr="009F3FFE">
        <w:rPr>
          <w:rFonts w:ascii="Times New Roman" w:hAnsi="Times New Roman" w:cs="Times New Roman"/>
          <w:sz w:val="24"/>
          <w:szCs w:val="24"/>
        </w:rPr>
        <w:t xml:space="preserve">adopted </w:t>
      </w:r>
      <w:r w:rsidR="00E44B8D" w:rsidRPr="009F3FFE">
        <w:rPr>
          <w:rFonts w:ascii="Times New Roman" w:hAnsi="Times New Roman" w:cs="Times New Roman"/>
          <w:sz w:val="24"/>
          <w:szCs w:val="24"/>
        </w:rPr>
        <w:t xml:space="preserve">officially </w:t>
      </w:r>
      <w:r w:rsidR="001C0501" w:rsidRPr="009F3FFE">
        <w:rPr>
          <w:rFonts w:ascii="Times New Roman" w:hAnsi="Times New Roman" w:cs="Times New Roman"/>
          <w:sz w:val="24"/>
          <w:szCs w:val="24"/>
        </w:rPr>
        <w:t>by a number of central banks including the Fed</w:t>
      </w:r>
      <w:r w:rsidR="009F3FFE">
        <w:rPr>
          <w:rFonts w:ascii="Times New Roman" w:hAnsi="Times New Roman" w:cs="Times New Roman"/>
          <w:sz w:val="24"/>
          <w:szCs w:val="24"/>
        </w:rPr>
        <w:t>.</w:t>
      </w:r>
      <w:r w:rsidR="00287C11">
        <w:rPr>
          <w:rFonts w:ascii="Times New Roman" w:hAnsi="Times New Roman" w:cs="Times New Roman"/>
          <w:sz w:val="24"/>
          <w:szCs w:val="24"/>
        </w:rPr>
        <w:t xml:space="preserve">  These assumptions are at the core of Taylor’s baseline rule.</w:t>
      </w:r>
    </w:p>
    <w:p w14:paraId="01F13267" w14:textId="03BD18BB" w:rsidR="005A5CD4" w:rsidRDefault="006E1BF7" w:rsidP="005A5CD4">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Ta</w:t>
      </w:r>
      <w:r w:rsidR="009F3FFE">
        <w:rPr>
          <w:rFonts w:ascii="Times New Roman" w:hAnsi="Times New Roman" w:cs="Times New Roman"/>
          <w:sz w:val="24"/>
          <w:szCs w:val="24"/>
        </w:rPr>
        <w:t>y</w:t>
      </w:r>
      <w:r w:rsidRPr="009F3FFE">
        <w:rPr>
          <w:rFonts w:ascii="Times New Roman" w:hAnsi="Times New Roman" w:cs="Times New Roman"/>
          <w:sz w:val="24"/>
          <w:szCs w:val="24"/>
        </w:rPr>
        <w:t>lor</w:t>
      </w:r>
      <w:r w:rsidR="001B5CE0" w:rsidRPr="009F3FFE">
        <w:rPr>
          <w:rFonts w:ascii="Times New Roman" w:hAnsi="Times New Roman" w:cs="Times New Roman"/>
          <w:sz w:val="24"/>
          <w:szCs w:val="24"/>
        </w:rPr>
        <w:t xml:space="preserve"> defined the inflation gap as the d</w:t>
      </w:r>
      <w:r w:rsidR="00307762">
        <w:rPr>
          <w:rFonts w:ascii="Times New Roman" w:hAnsi="Times New Roman" w:cs="Times New Roman"/>
          <w:sz w:val="24"/>
          <w:szCs w:val="24"/>
        </w:rPr>
        <w:t xml:space="preserve">eviation of current inflation </w:t>
      </w:r>
      <w:r w:rsidR="006E5CBA">
        <w:rPr>
          <w:rFonts w:ascii="Times New Roman" w:hAnsi="Times New Roman" w:cs="Times New Roman"/>
          <w:sz w:val="24"/>
          <w:szCs w:val="24"/>
        </w:rPr>
        <w:t>(p</w:t>
      </w:r>
      <w:r w:rsidR="006E5CBA" w:rsidRPr="006801F4">
        <w:rPr>
          <w:rFonts w:ascii="Times New Roman" w:hAnsi="Times New Roman" w:cs="Times New Roman"/>
          <w:sz w:val="24"/>
          <w:szCs w:val="24"/>
          <w:vertAlign w:val="subscript"/>
        </w:rPr>
        <w:t>t</w:t>
      </w:r>
      <w:r w:rsidR="0079102C" w:rsidRPr="00FE4CE3">
        <w:rPr>
          <w:rFonts w:ascii="Times New Roman" w:hAnsi="Times New Roman" w:cs="Times New Roman"/>
          <w:sz w:val="24"/>
          <w:szCs w:val="24"/>
        </w:rPr>
        <w:t>)</w:t>
      </w:r>
      <w:r w:rsidR="0079102C">
        <w:rPr>
          <w:rFonts w:ascii="Times New Roman" w:hAnsi="Times New Roman" w:cs="Times New Roman"/>
          <w:sz w:val="24"/>
          <w:szCs w:val="24"/>
        </w:rPr>
        <w:t xml:space="preserve"> </w:t>
      </w:r>
      <w:r w:rsidR="009F3FFE">
        <w:rPr>
          <w:rFonts w:ascii="Times New Roman" w:hAnsi="Times New Roman" w:cs="Times New Roman"/>
          <w:sz w:val="24"/>
          <w:szCs w:val="24"/>
        </w:rPr>
        <w:t>from t</w:t>
      </w:r>
      <w:r w:rsidR="00A35A63">
        <w:rPr>
          <w:rFonts w:ascii="Times New Roman" w:hAnsi="Times New Roman" w:cs="Times New Roman"/>
          <w:sz w:val="24"/>
          <w:szCs w:val="24"/>
        </w:rPr>
        <w:t>he inflation target</w:t>
      </w:r>
      <w:r w:rsidR="006E5CBA">
        <w:rPr>
          <w:rFonts w:ascii="Times New Roman" w:hAnsi="Times New Roman" w:cs="Times New Roman"/>
          <w:sz w:val="24"/>
          <w:szCs w:val="24"/>
        </w:rPr>
        <w:t xml:space="preserve"> (</w:t>
      </w:r>
      <w:r w:rsidR="00550606">
        <w:rPr>
          <w:rFonts w:ascii="Times New Roman" w:hAnsi="Times New Roman" w:cs="Times New Roman"/>
          <w:sz w:val="24"/>
          <w:szCs w:val="24"/>
        </w:rPr>
        <w:t>two</w:t>
      </w:r>
      <w:r w:rsidR="006E5CBA">
        <w:rPr>
          <w:rFonts w:ascii="Times New Roman" w:hAnsi="Times New Roman" w:cs="Times New Roman"/>
          <w:sz w:val="24"/>
          <w:szCs w:val="24"/>
        </w:rPr>
        <w:t>)</w:t>
      </w:r>
      <w:r w:rsidR="00360717">
        <w:rPr>
          <w:rFonts w:ascii="Times New Roman" w:hAnsi="Times New Roman" w:cs="Times New Roman"/>
          <w:sz w:val="24"/>
          <w:szCs w:val="24"/>
        </w:rPr>
        <w:t xml:space="preserve">. </w:t>
      </w:r>
      <w:r w:rsidR="001B5CE0" w:rsidRPr="009F3FFE">
        <w:rPr>
          <w:rFonts w:ascii="Times New Roman" w:hAnsi="Times New Roman" w:cs="Times New Roman"/>
          <w:sz w:val="24"/>
          <w:szCs w:val="24"/>
        </w:rPr>
        <w:t xml:space="preserve">The output gap he </w:t>
      </w:r>
      <w:r w:rsidR="00C66233">
        <w:rPr>
          <w:rFonts w:ascii="Times New Roman" w:hAnsi="Times New Roman" w:cs="Times New Roman"/>
          <w:sz w:val="24"/>
          <w:szCs w:val="24"/>
        </w:rPr>
        <w:t>understoo</w:t>
      </w:r>
      <w:r w:rsidR="001B5CE0" w:rsidRPr="009F3FFE">
        <w:rPr>
          <w:rFonts w:ascii="Times New Roman" w:hAnsi="Times New Roman" w:cs="Times New Roman"/>
          <w:sz w:val="24"/>
          <w:szCs w:val="24"/>
        </w:rPr>
        <w:t>d as the percentage deviation</w:t>
      </w:r>
      <w:r w:rsidR="006E5CBA">
        <w:rPr>
          <w:rFonts w:ascii="Times New Roman" w:hAnsi="Times New Roman" w:cs="Times New Roman"/>
          <w:sz w:val="24"/>
          <w:szCs w:val="24"/>
        </w:rPr>
        <w:t xml:space="preserve"> of actual output (y</w:t>
      </w:r>
      <w:r w:rsidR="006E5CBA" w:rsidRPr="006801F4">
        <w:rPr>
          <w:rFonts w:ascii="Times New Roman" w:hAnsi="Times New Roman" w:cs="Times New Roman"/>
          <w:sz w:val="24"/>
          <w:szCs w:val="24"/>
          <w:vertAlign w:val="subscript"/>
        </w:rPr>
        <w:t>t</w:t>
      </w:r>
      <w:r w:rsidR="006E5CBA" w:rsidRPr="00FE4CE3">
        <w:rPr>
          <w:rFonts w:ascii="Times New Roman" w:hAnsi="Times New Roman" w:cs="Times New Roman"/>
          <w:sz w:val="24"/>
          <w:szCs w:val="24"/>
        </w:rPr>
        <w:t>)</w:t>
      </w:r>
      <w:r w:rsidR="001B5CE0" w:rsidRPr="009F3FFE">
        <w:rPr>
          <w:rFonts w:ascii="Times New Roman" w:hAnsi="Times New Roman" w:cs="Times New Roman"/>
          <w:sz w:val="24"/>
          <w:szCs w:val="24"/>
        </w:rPr>
        <w:t xml:space="preserve"> fro</w:t>
      </w:r>
      <w:r w:rsidR="001749C1" w:rsidRPr="009F3FFE">
        <w:rPr>
          <w:rFonts w:ascii="Times New Roman" w:hAnsi="Times New Roman" w:cs="Times New Roman"/>
          <w:sz w:val="24"/>
          <w:szCs w:val="24"/>
        </w:rPr>
        <w:t xml:space="preserve">m </w:t>
      </w:r>
      <w:r w:rsidR="006B5C87">
        <w:rPr>
          <w:rFonts w:ascii="Times New Roman" w:hAnsi="Times New Roman" w:cs="Times New Roman"/>
          <w:sz w:val="24"/>
          <w:szCs w:val="24"/>
        </w:rPr>
        <w:t>a “target”</w:t>
      </w:r>
      <w:r w:rsidR="006E5CBA">
        <w:rPr>
          <w:rFonts w:ascii="Times New Roman" w:hAnsi="Times New Roman" w:cs="Times New Roman"/>
          <w:sz w:val="24"/>
          <w:szCs w:val="24"/>
        </w:rPr>
        <w:t xml:space="preserve"> (y*)</w:t>
      </w:r>
      <w:r w:rsidR="001F4433">
        <w:rPr>
          <w:rFonts w:ascii="Times New Roman" w:hAnsi="Times New Roman" w:cs="Times New Roman"/>
          <w:sz w:val="24"/>
          <w:szCs w:val="24"/>
        </w:rPr>
        <w:t xml:space="preserve">, </w:t>
      </w:r>
      <w:r w:rsidR="00425F40">
        <w:rPr>
          <w:rFonts w:ascii="Times New Roman" w:hAnsi="Times New Roman" w:cs="Times New Roman"/>
          <w:sz w:val="24"/>
          <w:szCs w:val="24"/>
        </w:rPr>
        <w:t>which he def</w:t>
      </w:r>
      <w:r w:rsidR="00F9781C">
        <w:rPr>
          <w:rFonts w:ascii="Times New Roman" w:hAnsi="Times New Roman" w:cs="Times New Roman"/>
          <w:sz w:val="24"/>
          <w:szCs w:val="24"/>
        </w:rPr>
        <w:t xml:space="preserve">ined </w:t>
      </w:r>
      <w:r w:rsidR="00550606">
        <w:rPr>
          <w:rFonts w:ascii="Times New Roman" w:hAnsi="Times New Roman" w:cs="Times New Roman"/>
          <w:sz w:val="24"/>
          <w:szCs w:val="24"/>
        </w:rPr>
        <w:t xml:space="preserve">rather vaguely </w:t>
      </w:r>
      <w:r w:rsidR="00425F40">
        <w:rPr>
          <w:rFonts w:ascii="Times New Roman" w:hAnsi="Times New Roman" w:cs="Times New Roman"/>
          <w:sz w:val="24"/>
          <w:szCs w:val="24"/>
        </w:rPr>
        <w:t>as what would be predicted by a trend</w:t>
      </w:r>
      <w:r w:rsidR="004C5933">
        <w:rPr>
          <w:rFonts w:ascii="Times New Roman" w:hAnsi="Times New Roman" w:cs="Times New Roman"/>
          <w:sz w:val="24"/>
          <w:szCs w:val="24"/>
        </w:rPr>
        <w:t xml:space="preserve"> (1993, p. 202).</w:t>
      </w:r>
      <w:r w:rsidR="00425F40">
        <w:rPr>
          <w:rFonts w:ascii="Times New Roman" w:hAnsi="Times New Roman" w:cs="Times New Roman"/>
          <w:sz w:val="24"/>
          <w:szCs w:val="24"/>
        </w:rPr>
        <w:t xml:space="preserve"> </w:t>
      </w:r>
      <w:r w:rsidR="00F9781C">
        <w:rPr>
          <w:rFonts w:ascii="Times New Roman" w:hAnsi="Times New Roman" w:cs="Times New Roman"/>
          <w:sz w:val="24"/>
          <w:szCs w:val="24"/>
        </w:rPr>
        <w:t xml:space="preserve"> </w:t>
      </w:r>
      <w:r w:rsidR="00425F40">
        <w:rPr>
          <w:rFonts w:ascii="Times New Roman" w:hAnsi="Times New Roman" w:cs="Times New Roman"/>
          <w:sz w:val="24"/>
          <w:szCs w:val="24"/>
        </w:rPr>
        <w:t xml:space="preserve">The </w:t>
      </w:r>
      <w:r w:rsidR="00A76BF1">
        <w:rPr>
          <w:rFonts w:ascii="Times New Roman" w:hAnsi="Times New Roman" w:cs="Times New Roman"/>
          <w:sz w:val="24"/>
          <w:szCs w:val="24"/>
        </w:rPr>
        <w:t xml:space="preserve">lack of specificity about how a trend is calculated is </w:t>
      </w:r>
      <w:r w:rsidR="00023B6C">
        <w:rPr>
          <w:rFonts w:ascii="Times New Roman" w:hAnsi="Times New Roman" w:cs="Times New Roman"/>
          <w:sz w:val="24"/>
          <w:szCs w:val="24"/>
        </w:rPr>
        <w:t xml:space="preserve">quite </w:t>
      </w:r>
      <w:r w:rsidR="00A76BF1">
        <w:rPr>
          <w:rFonts w:ascii="Times New Roman" w:hAnsi="Times New Roman" w:cs="Times New Roman"/>
          <w:sz w:val="24"/>
          <w:szCs w:val="24"/>
        </w:rPr>
        <w:t>important</w:t>
      </w:r>
      <w:r w:rsidR="00F9781C">
        <w:rPr>
          <w:rFonts w:ascii="Times New Roman" w:hAnsi="Times New Roman" w:cs="Times New Roman"/>
          <w:sz w:val="24"/>
          <w:szCs w:val="24"/>
        </w:rPr>
        <w:t>,</w:t>
      </w:r>
      <w:r w:rsidR="00425F40">
        <w:rPr>
          <w:rFonts w:ascii="Times New Roman" w:hAnsi="Times New Roman" w:cs="Times New Roman"/>
          <w:sz w:val="24"/>
          <w:szCs w:val="24"/>
        </w:rPr>
        <w:t xml:space="preserve"> because</w:t>
      </w:r>
      <w:r w:rsidR="00F9781C">
        <w:rPr>
          <w:rFonts w:ascii="Times New Roman" w:hAnsi="Times New Roman" w:cs="Times New Roman"/>
          <w:sz w:val="24"/>
          <w:szCs w:val="24"/>
        </w:rPr>
        <w:t xml:space="preserve">, as will be argued below, </w:t>
      </w:r>
      <w:r w:rsidR="00550606">
        <w:rPr>
          <w:rFonts w:ascii="Times New Roman" w:hAnsi="Times New Roman" w:cs="Times New Roman"/>
          <w:sz w:val="24"/>
          <w:szCs w:val="24"/>
        </w:rPr>
        <w:t xml:space="preserve">the methods used </w:t>
      </w:r>
      <w:r w:rsidR="00425F40">
        <w:rPr>
          <w:rFonts w:ascii="Times New Roman" w:hAnsi="Times New Roman" w:cs="Times New Roman"/>
          <w:sz w:val="24"/>
          <w:szCs w:val="24"/>
        </w:rPr>
        <w:t>can ma</w:t>
      </w:r>
      <w:r w:rsidR="00023B6C">
        <w:rPr>
          <w:rFonts w:ascii="Times New Roman" w:hAnsi="Times New Roman" w:cs="Times New Roman"/>
          <w:sz w:val="24"/>
          <w:szCs w:val="24"/>
        </w:rPr>
        <w:t>tter</w:t>
      </w:r>
      <w:r w:rsidR="00A76BF1">
        <w:rPr>
          <w:rFonts w:ascii="Times New Roman" w:hAnsi="Times New Roman" w:cs="Times New Roman"/>
          <w:sz w:val="24"/>
          <w:szCs w:val="24"/>
        </w:rPr>
        <w:t>.</w:t>
      </w:r>
      <w:r w:rsidR="00425F40">
        <w:rPr>
          <w:rFonts w:ascii="Times New Roman" w:hAnsi="Times New Roman" w:cs="Times New Roman"/>
          <w:sz w:val="24"/>
          <w:szCs w:val="24"/>
        </w:rPr>
        <w:t xml:space="preserve"> An output gap is</w:t>
      </w:r>
      <w:r w:rsidR="005A5CD4">
        <w:rPr>
          <w:rFonts w:ascii="Times New Roman" w:hAnsi="Times New Roman" w:cs="Times New Roman"/>
          <w:sz w:val="24"/>
          <w:szCs w:val="24"/>
        </w:rPr>
        <w:t xml:space="preserve"> the</w:t>
      </w:r>
      <w:r w:rsidR="00425F40">
        <w:rPr>
          <w:rFonts w:ascii="Times New Roman" w:hAnsi="Times New Roman" w:cs="Times New Roman"/>
          <w:sz w:val="24"/>
          <w:szCs w:val="24"/>
        </w:rPr>
        <w:t xml:space="preserve"> </w:t>
      </w:r>
      <w:r w:rsidR="006E56C8">
        <w:rPr>
          <w:rFonts w:ascii="Times New Roman" w:hAnsi="Times New Roman" w:cs="Times New Roman"/>
          <w:sz w:val="24"/>
          <w:szCs w:val="24"/>
        </w:rPr>
        <w:t>difference</w:t>
      </w:r>
      <w:r w:rsidR="00425F40">
        <w:rPr>
          <w:rFonts w:ascii="Times New Roman" w:hAnsi="Times New Roman" w:cs="Times New Roman"/>
          <w:sz w:val="24"/>
          <w:szCs w:val="24"/>
        </w:rPr>
        <w:t xml:space="preserve"> between actual and potential output</w:t>
      </w:r>
      <w:r w:rsidR="006E56C8">
        <w:rPr>
          <w:rFonts w:ascii="Times New Roman" w:hAnsi="Times New Roman" w:cs="Times New Roman"/>
          <w:sz w:val="24"/>
          <w:szCs w:val="24"/>
        </w:rPr>
        <w:t>,</w:t>
      </w:r>
      <w:r w:rsidR="00A76BF1">
        <w:rPr>
          <w:rFonts w:ascii="Times New Roman" w:hAnsi="Times New Roman" w:cs="Times New Roman"/>
          <w:sz w:val="24"/>
          <w:szCs w:val="24"/>
        </w:rPr>
        <w:t xml:space="preserve"> </w:t>
      </w:r>
      <w:r w:rsidR="006E56C8">
        <w:rPr>
          <w:rFonts w:ascii="Times New Roman" w:hAnsi="Times New Roman" w:cs="Times New Roman"/>
          <w:sz w:val="24"/>
          <w:szCs w:val="24"/>
        </w:rPr>
        <w:t xml:space="preserve">commonly defined as </w:t>
      </w:r>
      <w:r w:rsidR="0007276B">
        <w:rPr>
          <w:rFonts w:ascii="Times New Roman" w:hAnsi="Times New Roman" w:cs="Times New Roman"/>
          <w:sz w:val="24"/>
          <w:szCs w:val="24"/>
        </w:rPr>
        <w:t>the highest level of output that can be sustained without so stimulating an economy that it experiences an acceleration of inflation</w:t>
      </w:r>
      <w:r w:rsidR="006B5C87">
        <w:rPr>
          <w:rFonts w:ascii="Times New Roman" w:hAnsi="Times New Roman" w:cs="Times New Roman"/>
          <w:sz w:val="24"/>
          <w:szCs w:val="24"/>
        </w:rPr>
        <w:t>.</w:t>
      </w:r>
      <w:r w:rsidR="006B5C87">
        <w:rPr>
          <w:rStyle w:val="FootnoteReference"/>
          <w:rFonts w:ascii="Times New Roman" w:hAnsi="Times New Roman" w:cs="Times New Roman"/>
          <w:sz w:val="24"/>
          <w:szCs w:val="24"/>
        </w:rPr>
        <w:footnoteReference w:id="6"/>
      </w:r>
      <w:r w:rsidR="00425F40">
        <w:rPr>
          <w:rFonts w:ascii="Times New Roman" w:hAnsi="Times New Roman" w:cs="Times New Roman"/>
          <w:sz w:val="24"/>
          <w:szCs w:val="24"/>
        </w:rPr>
        <w:t xml:space="preserve">  </w:t>
      </w:r>
    </w:p>
    <w:p w14:paraId="6F20F47D" w14:textId="5D16BFE7" w:rsidR="001B5CE0" w:rsidRDefault="005A5CD4" w:rsidP="009F3FFE">
      <w:pPr>
        <w:spacing w:line="480" w:lineRule="auto"/>
        <w:ind w:firstLine="576"/>
        <w:rPr>
          <w:rFonts w:ascii="Times New Roman" w:hAnsi="Times New Roman" w:cs="Times New Roman"/>
          <w:sz w:val="24"/>
          <w:szCs w:val="24"/>
        </w:rPr>
      </w:pPr>
      <w:r>
        <w:rPr>
          <w:rFonts w:ascii="Times New Roman" w:hAnsi="Times New Roman" w:cs="Times New Roman"/>
          <w:sz w:val="24"/>
          <w:szCs w:val="24"/>
        </w:rPr>
        <w:lastRenderedPageBreak/>
        <w:t xml:space="preserve">Assuming, for the </w:t>
      </w:r>
      <w:r w:rsidR="00F9781C">
        <w:rPr>
          <w:rFonts w:ascii="Times New Roman" w:hAnsi="Times New Roman" w:cs="Times New Roman"/>
          <w:sz w:val="24"/>
          <w:szCs w:val="24"/>
        </w:rPr>
        <w:t>moment,</w:t>
      </w:r>
      <w:r w:rsidR="0035055E">
        <w:rPr>
          <w:rFonts w:ascii="Times New Roman" w:hAnsi="Times New Roman" w:cs="Times New Roman"/>
          <w:sz w:val="24"/>
          <w:szCs w:val="24"/>
        </w:rPr>
        <w:t xml:space="preserve"> that </w:t>
      </w:r>
      <w:r w:rsidR="00421659">
        <w:rPr>
          <w:rFonts w:ascii="Times New Roman" w:hAnsi="Times New Roman" w:cs="Times New Roman"/>
          <w:sz w:val="24"/>
          <w:szCs w:val="24"/>
        </w:rPr>
        <w:t xml:space="preserve">an </w:t>
      </w:r>
      <w:r w:rsidR="0035055E">
        <w:rPr>
          <w:rFonts w:ascii="Times New Roman" w:hAnsi="Times New Roman" w:cs="Times New Roman"/>
          <w:sz w:val="24"/>
          <w:szCs w:val="24"/>
        </w:rPr>
        <w:t xml:space="preserve">output gap </w:t>
      </w:r>
      <w:r w:rsidR="00421659">
        <w:rPr>
          <w:rFonts w:ascii="Times New Roman" w:hAnsi="Times New Roman" w:cs="Times New Roman"/>
          <w:sz w:val="24"/>
          <w:szCs w:val="24"/>
        </w:rPr>
        <w:t>can be</w:t>
      </w:r>
      <w:r w:rsidR="0035055E">
        <w:rPr>
          <w:rFonts w:ascii="Times New Roman" w:hAnsi="Times New Roman" w:cs="Times New Roman"/>
          <w:sz w:val="24"/>
          <w:szCs w:val="24"/>
        </w:rPr>
        <w:t xml:space="preserve"> easily measured in ways that command broad agreement,</w:t>
      </w:r>
      <w:r w:rsidR="00A76BF1" w:rsidRPr="00A76BF1">
        <w:rPr>
          <w:rStyle w:val="FootnoteReference"/>
          <w:rFonts w:ascii="Times New Roman" w:hAnsi="Times New Roman" w:cs="Times New Roman"/>
          <w:sz w:val="24"/>
          <w:szCs w:val="24"/>
        </w:rPr>
        <w:t xml:space="preserve"> </w:t>
      </w:r>
      <w:r w:rsidR="00A76BF1">
        <w:rPr>
          <w:rStyle w:val="FootnoteReference"/>
          <w:rFonts w:ascii="Times New Roman" w:hAnsi="Times New Roman" w:cs="Times New Roman"/>
          <w:sz w:val="24"/>
          <w:szCs w:val="24"/>
        </w:rPr>
        <w:footnoteReference w:id="7"/>
      </w:r>
      <w:r w:rsidR="0035055E">
        <w:rPr>
          <w:rFonts w:ascii="Times New Roman" w:hAnsi="Times New Roman" w:cs="Times New Roman"/>
          <w:sz w:val="24"/>
          <w:szCs w:val="24"/>
        </w:rPr>
        <w:t xml:space="preserve"> </w:t>
      </w:r>
      <w:r w:rsidR="006E56C8">
        <w:rPr>
          <w:rFonts w:ascii="Times New Roman" w:hAnsi="Times New Roman" w:cs="Times New Roman"/>
          <w:sz w:val="24"/>
          <w:szCs w:val="24"/>
        </w:rPr>
        <w:t xml:space="preserve"> </w:t>
      </w:r>
      <w:r w:rsidR="00F9781C">
        <w:rPr>
          <w:rFonts w:ascii="Times New Roman" w:hAnsi="Times New Roman" w:cs="Times New Roman"/>
          <w:sz w:val="24"/>
          <w:szCs w:val="24"/>
        </w:rPr>
        <w:t>here are</w:t>
      </w:r>
      <w:r w:rsidR="00C66233">
        <w:rPr>
          <w:rFonts w:ascii="Times New Roman" w:hAnsi="Times New Roman" w:cs="Times New Roman"/>
          <w:sz w:val="24"/>
          <w:szCs w:val="24"/>
        </w:rPr>
        <w:t xml:space="preserve"> mechanics of the </w:t>
      </w:r>
      <w:r w:rsidR="004C5933">
        <w:rPr>
          <w:rFonts w:ascii="Times New Roman" w:hAnsi="Times New Roman" w:cs="Times New Roman"/>
          <w:sz w:val="24"/>
          <w:szCs w:val="24"/>
        </w:rPr>
        <w:t>original (1993) version of the Ta</w:t>
      </w:r>
      <w:r w:rsidR="00C66233">
        <w:rPr>
          <w:rFonts w:ascii="Times New Roman" w:hAnsi="Times New Roman" w:cs="Times New Roman"/>
          <w:sz w:val="24"/>
          <w:szCs w:val="24"/>
        </w:rPr>
        <w:t>ylo</w:t>
      </w:r>
      <w:r w:rsidR="0035055E">
        <w:rPr>
          <w:rFonts w:ascii="Times New Roman" w:hAnsi="Times New Roman" w:cs="Times New Roman"/>
          <w:sz w:val="24"/>
          <w:szCs w:val="24"/>
        </w:rPr>
        <w:t>r rule</w:t>
      </w:r>
      <w:r w:rsidR="006E56C8">
        <w:rPr>
          <w:rFonts w:ascii="Times New Roman" w:hAnsi="Times New Roman" w:cs="Times New Roman"/>
          <w:sz w:val="24"/>
          <w:szCs w:val="24"/>
        </w:rPr>
        <w:t>.</w:t>
      </w:r>
      <w:r w:rsidR="004C5933">
        <w:rPr>
          <w:rFonts w:ascii="Times New Roman" w:hAnsi="Times New Roman" w:cs="Times New Roman"/>
          <w:sz w:val="24"/>
          <w:szCs w:val="24"/>
        </w:rPr>
        <w:t xml:space="preserve"> </w:t>
      </w:r>
      <w:r w:rsidR="006E56C8">
        <w:rPr>
          <w:rFonts w:ascii="Times New Roman" w:hAnsi="Times New Roman" w:cs="Times New Roman"/>
          <w:sz w:val="24"/>
          <w:szCs w:val="24"/>
        </w:rPr>
        <w:t>I</w:t>
      </w:r>
      <w:r w:rsidR="001B5CE0" w:rsidRPr="009F3FFE">
        <w:rPr>
          <w:rFonts w:ascii="Times New Roman" w:hAnsi="Times New Roman" w:cs="Times New Roman"/>
          <w:sz w:val="24"/>
          <w:szCs w:val="24"/>
        </w:rPr>
        <w:t xml:space="preserve">f both the </w:t>
      </w:r>
      <w:r w:rsidR="001749C1" w:rsidRPr="009F3FFE">
        <w:rPr>
          <w:rFonts w:ascii="Times New Roman" w:hAnsi="Times New Roman" w:cs="Times New Roman"/>
          <w:sz w:val="24"/>
          <w:szCs w:val="24"/>
        </w:rPr>
        <w:t xml:space="preserve">output gap and inflation gap </w:t>
      </w:r>
      <w:r w:rsidR="006E56C8">
        <w:rPr>
          <w:rFonts w:ascii="Times New Roman" w:hAnsi="Times New Roman" w:cs="Times New Roman"/>
          <w:sz w:val="24"/>
          <w:szCs w:val="24"/>
        </w:rPr>
        <w:t>are</w:t>
      </w:r>
      <w:r w:rsidR="001B5CE0" w:rsidRPr="009F3FFE">
        <w:rPr>
          <w:rFonts w:ascii="Times New Roman" w:hAnsi="Times New Roman" w:cs="Times New Roman"/>
          <w:sz w:val="24"/>
          <w:szCs w:val="24"/>
        </w:rPr>
        <w:t xml:space="preserve"> </w:t>
      </w:r>
      <w:r w:rsidR="00550606">
        <w:rPr>
          <w:rFonts w:ascii="Times New Roman" w:hAnsi="Times New Roman" w:cs="Times New Roman"/>
          <w:sz w:val="24"/>
          <w:szCs w:val="24"/>
        </w:rPr>
        <w:t>zero</w:t>
      </w:r>
      <w:r w:rsidR="001B5CE0" w:rsidRPr="009F3FFE">
        <w:rPr>
          <w:rFonts w:ascii="Times New Roman" w:hAnsi="Times New Roman" w:cs="Times New Roman"/>
          <w:sz w:val="24"/>
          <w:szCs w:val="24"/>
        </w:rPr>
        <w:t xml:space="preserve"> (whic</w:t>
      </w:r>
      <w:r w:rsidR="001749C1" w:rsidRPr="009F3FFE">
        <w:rPr>
          <w:rFonts w:ascii="Times New Roman" w:hAnsi="Times New Roman" w:cs="Times New Roman"/>
          <w:sz w:val="24"/>
          <w:szCs w:val="24"/>
        </w:rPr>
        <w:t>h mean</w:t>
      </w:r>
      <w:r w:rsidR="0035055E">
        <w:rPr>
          <w:rFonts w:ascii="Times New Roman" w:hAnsi="Times New Roman" w:cs="Times New Roman"/>
          <w:sz w:val="24"/>
          <w:szCs w:val="24"/>
        </w:rPr>
        <w:t xml:space="preserve">s that </w:t>
      </w:r>
      <w:r w:rsidR="009F3FFE">
        <w:rPr>
          <w:rFonts w:ascii="Times New Roman" w:hAnsi="Times New Roman" w:cs="Times New Roman"/>
          <w:sz w:val="24"/>
          <w:szCs w:val="24"/>
        </w:rPr>
        <w:t xml:space="preserve">the inflation rate </w:t>
      </w:r>
      <w:r w:rsidR="0035055E">
        <w:rPr>
          <w:rFonts w:ascii="Times New Roman" w:hAnsi="Times New Roman" w:cs="Times New Roman"/>
          <w:sz w:val="24"/>
          <w:szCs w:val="24"/>
        </w:rPr>
        <w:t>i</w:t>
      </w:r>
      <w:r w:rsidR="001749C1" w:rsidRPr="009F3FFE">
        <w:rPr>
          <w:rFonts w:ascii="Times New Roman" w:hAnsi="Times New Roman" w:cs="Times New Roman"/>
          <w:sz w:val="24"/>
          <w:szCs w:val="24"/>
        </w:rPr>
        <w:t xml:space="preserve">s </w:t>
      </w:r>
      <w:r w:rsidR="008208D6">
        <w:rPr>
          <w:rFonts w:ascii="Times New Roman" w:hAnsi="Times New Roman" w:cs="Times New Roman"/>
          <w:sz w:val="24"/>
          <w:szCs w:val="24"/>
        </w:rPr>
        <w:t>exactly two</w:t>
      </w:r>
      <w:r w:rsidR="005B5865">
        <w:rPr>
          <w:rFonts w:ascii="Times New Roman" w:hAnsi="Times New Roman" w:cs="Times New Roman"/>
          <w:sz w:val="24"/>
          <w:szCs w:val="24"/>
        </w:rPr>
        <w:t xml:space="preserve"> percent per year</w:t>
      </w:r>
      <w:r w:rsidR="001749C1" w:rsidRPr="009F3FFE">
        <w:rPr>
          <w:rFonts w:ascii="Times New Roman" w:hAnsi="Times New Roman" w:cs="Times New Roman"/>
          <w:sz w:val="24"/>
          <w:szCs w:val="24"/>
        </w:rPr>
        <w:t xml:space="preserve"> and the economy </w:t>
      </w:r>
      <w:r w:rsidR="0035055E">
        <w:rPr>
          <w:rFonts w:ascii="Times New Roman" w:hAnsi="Times New Roman" w:cs="Times New Roman"/>
          <w:sz w:val="24"/>
          <w:szCs w:val="24"/>
        </w:rPr>
        <w:t>is</w:t>
      </w:r>
      <w:r w:rsidR="00A274FD" w:rsidRPr="009F3FFE">
        <w:rPr>
          <w:rFonts w:ascii="Times New Roman" w:hAnsi="Times New Roman" w:cs="Times New Roman"/>
          <w:sz w:val="24"/>
          <w:szCs w:val="24"/>
        </w:rPr>
        <w:t xml:space="preserve"> at potential, the rule</w:t>
      </w:r>
      <w:r w:rsidR="001749C1" w:rsidRPr="009F3FFE">
        <w:rPr>
          <w:rFonts w:ascii="Times New Roman" w:hAnsi="Times New Roman" w:cs="Times New Roman"/>
          <w:sz w:val="24"/>
          <w:szCs w:val="24"/>
        </w:rPr>
        <w:t xml:space="preserve"> </w:t>
      </w:r>
      <w:r w:rsidR="001C0501" w:rsidRPr="009F3FFE">
        <w:rPr>
          <w:rFonts w:ascii="Times New Roman" w:hAnsi="Times New Roman" w:cs="Times New Roman"/>
          <w:sz w:val="24"/>
          <w:szCs w:val="24"/>
        </w:rPr>
        <w:t>mandated a nominal interest rate</w:t>
      </w:r>
      <w:r w:rsidR="002033EC">
        <w:rPr>
          <w:rFonts w:ascii="Times New Roman" w:hAnsi="Times New Roman" w:cs="Times New Roman"/>
          <w:sz w:val="24"/>
          <w:szCs w:val="24"/>
        </w:rPr>
        <w:t xml:space="preserve"> of</w:t>
      </w:r>
      <w:r w:rsidR="0007276B">
        <w:rPr>
          <w:rFonts w:ascii="Times New Roman" w:hAnsi="Times New Roman" w:cs="Times New Roman"/>
          <w:sz w:val="24"/>
          <w:szCs w:val="24"/>
        </w:rPr>
        <w:t xml:space="preserve"> fou</w:t>
      </w:r>
      <w:r w:rsidR="006E56C8">
        <w:rPr>
          <w:rFonts w:ascii="Times New Roman" w:hAnsi="Times New Roman" w:cs="Times New Roman"/>
          <w:sz w:val="24"/>
          <w:szCs w:val="24"/>
        </w:rPr>
        <w:t xml:space="preserve">r, </w:t>
      </w:r>
      <w:r w:rsidR="001B5CE0" w:rsidRPr="009F3FFE">
        <w:rPr>
          <w:rFonts w:ascii="Times New Roman" w:hAnsi="Times New Roman" w:cs="Times New Roman"/>
          <w:sz w:val="24"/>
          <w:szCs w:val="24"/>
        </w:rPr>
        <w:t>yie</w:t>
      </w:r>
      <w:r w:rsidR="001749C1" w:rsidRPr="009F3FFE">
        <w:rPr>
          <w:rFonts w:ascii="Times New Roman" w:hAnsi="Times New Roman" w:cs="Times New Roman"/>
          <w:sz w:val="24"/>
          <w:szCs w:val="24"/>
        </w:rPr>
        <w:t>ld</w:t>
      </w:r>
      <w:r w:rsidR="00307762">
        <w:rPr>
          <w:rFonts w:ascii="Times New Roman" w:hAnsi="Times New Roman" w:cs="Times New Roman"/>
          <w:sz w:val="24"/>
          <w:szCs w:val="24"/>
        </w:rPr>
        <w:t>ing the desired</w:t>
      </w:r>
      <w:r w:rsidR="00EE6B90" w:rsidRPr="009F3FFE">
        <w:rPr>
          <w:rFonts w:ascii="Times New Roman" w:hAnsi="Times New Roman" w:cs="Times New Roman"/>
          <w:sz w:val="24"/>
          <w:szCs w:val="24"/>
        </w:rPr>
        <w:t xml:space="preserve"> </w:t>
      </w:r>
      <w:r w:rsidR="004C512D" w:rsidRPr="009F3FFE">
        <w:rPr>
          <w:rFonts w:ascii="Times New Roman" w:hAnsi="Times New Roman" w:cs="Times New Roman"/>
          <w:sz w:val="24"/>
          <w:szCs w:val="24"/>
        </w:rPr>
        <w:t xml:space="preserve">real interest rate of </w:t>
      </w:r>
      <w:r w:rsidR="008208D6">
        <w:rPr>
          <w:rFonts w:ascii="Times New Roman" w:hAnsi="Times New Roman" w:cs="Times New Roman"/>
          <w:sz w:val="24"/>
          <w:szCs w:val="24"/>
        </w:rPr>
        <w:t>two</w:t>
      </w:r>
      <w:r w:rsidR="002033EC">
        <w:rPr>
          <w:rFonts w:ascii="Times New Roman" w:hAnsi="Times New Roman" w:cs="Times New Roman"/>
          <w:sz w:val="24"/>
          <w:szCs w:val="24"/>
        </w:rPr>
        <w:t>.</w:t>
      </w:r>
      <w:r w:rsidR="004C5933">
        <w:rPr>
          <w:rFonts w:ascii="Times New Roman" w:hAnsi="Times New Roman" w:cs="Times New Roman"/>
          <w:sz w:val="24"/>
          <w:szCs w:val="24"/>
        </w:rPr>
        <w:t xml:space="preserve"> </w:t>
      </w:r>
      <w:r w:rsidR="001749C1" w:rsidRPr="009F3FFE">
        <w:rPr>
          <w:rFonts w:ascii="Times New Roman" w:hAnsi="Times New Roman" w:cs="Times New Roman"/>
          <w:sz w:val="24"/>
          <w:szCs w:val="24"/>
        </w:rPr>
        <w:t xml:space="preserve">If there </w:t>
      </w:r>
      <w:r w:rsidR="006E56C8">
        <w:rPr>
          <w:rFonts w:ascii="Times New Roman" w:hAnsi="Times New Roman" w:cs="Times New Roman"/>
          <w:sz w:val="24"/>
          <w:szCs w:val="24"/>
        </w:rPr>
        <w:t>is</w:t>
      </w:r>
      <w:r w:rsidR="001749C1" w:rsidRPr="009F3FFE">
        <w:rPr>
          <w:rFonts w:ascii="Times New Roman" w:hAnsi="Times New Roman" w:cs="Times New Roman"/>
          <w:sz w:val="24"/>
          <w:szCs w:val="24"/>
        </w:rPr>
        <w:t xml:space="preserve"> </w:t>
      </w:r>
      <w:r w:rsidR="001B5CE0" w:rsidRPr="009F3FFE">
        <w:rPr>
          <w:rFonts w:ascii="Times New Roman" w:hAnsi="Times New Roman" w:cs="Times New Roman"/>
          <w:sz w:val="24"/>
          <w:szCs w:val="24"/>
        </w:rPr>
        <w:t>an</w:t>
      </w:r>
      <w:r w:rsidR="004C512D" w:rsidRPr="009F3FFE">
        <w:rPr>
          <w:rFonts w:ascii="Times New Roman" w:hAnsi="Times New Roman" w:cs="Times New Roman"/>
          <w:sz w:val="24"/>
          <w:szCs w:val="24"/>
        </w:rPr>
        <w:t xml:space="preserve"> inflation gap, then </w:t>
      </w:r>
      <w:r w:rsidR="009F3FFE">
        <w:rPr>
          <w:rFonts w:ascii="Times New Roman" w:hAnsi="Times New Roman" w:cs="Times New Roman"/>
          <w:sz w:val="24"/>
          <w:szCs w:val="24"/>
        </w:rPr>
        <w:t xml:space="preserve">the rule said </w:t>
      </w:r>
      <w:r w:rsidR="00307762">
        <w:rPr>
          <w:rFonts w:ascii="Times New Roman" w:hAnsi="Times New Roman" w:cs="Times New Roman"/>
          <w:sz w:val="24"/>
          <w:szCs w:val="24"/>
        </w:rPr>
        <w:t xml:space="preserve">to </w:t>
      </w:r>
      <w:r w:rsidR="004C512D" w:rsidRPr="009F3FFE">
        <w:rPr>
          <w:rFonts w:ascii="Times New Roman" w:hAnsi="Times New Roman" w:cs="Times New Roman"/>
          <w:sz w:val="24"/>
          <w:szCs w:val="24"/>
        </w:rPr>
        <w:t xml:space="preserve">set </w:t>
      </w:r>
      <w:r w:rsidR="00EE6B90" w:rsidRPr="009F3FFE">
        <w:rPr>
          <w:rFonts w:ascii="Times New Roman" w:hAnsi="Times New Roman" w:cs="Times New Roman"/>
          <w:sz w:val="24"/>
          <w:szCs w:val="24"/>
        </w:rPr>
        <w:t xml:space="preserve">nominal </w:t>
      </w:r>
      <w:r w:rsidR="004C512D" w:rsidRPr="009F3FFE">
        <w:rPr>
          <w:rFonts w:ascii="Times New Roman" w:hAnsi="Times New Roman" w:cs="Times New Roman"/>
          <w:sz w:val="24"/>
          <w:szCs w:val="24"/>
        </w:rPr>
        <w:t xml:space="preserve">r </w:t>
      </w:r>
      <w:r w:rsidR="00E078CF">
        <w:rPr>
          <w:rFonts w:ascii="Times New Roman" w:hAnsi="Times New Roman" w:cs="Times New Roman"/>
          <w:sz w:val="24"/>
          <w:szCs w:val="24"/>
        </w:rPr>
        <w:t>equal to</w:t>
      </w:r>
      <w:r w:rsidR="001B5CE0" w:rsidRPr="009F3FFE">
        <w:rPr>
          <w:rFonts w:ascii="Times New Roman" w:hAnsi="Times New Roman" w:cs="Times New Roman"/>
          <w:sz w:val="24"/>
          <w:szCs w:val="24"/>
        </w:rPr>
        <w:t xml:space="preserve"> </w:t>
      </w:r>
      <w:r w:rsidR="001A777F">
        <w:rPr>
          <w:rFonts w:ascii="Times New Roman" w:hAnsi="Times New Roman" w:cs="Times New Roman"/>
          <w:sz w:val="24"/>
          <w:szCs w:val="24"/>
        </w:rPr>
        <w:t xml:space="preserve">two plus </w:t>
      </w:r>
      <w:r w:rsidR="00EE6B90" w:rsidRPr="009F3FFE">
        <w:rPr>
          <w:rFonts w:ascii="Times New Roman" w:hAnsi="Times New Roman" w:cs="Times New Roman"/>
          <w:sz w:val="24"/>
          <w:szCs w:val="24"/>
        </w:rPr>
        <w:t xml:space="preserve">the </w:t>
      </w:r>
      <w:r w:rsidR="009F3FFE">
        <w:rPr>
          <w:rFonts w:ascii="Times New Roman" w:hAnsi="Times New Roman" w:cs="Times New Roman"/>
          <w:sz w:val="24"/>
          <w:szCs w:val="24"/>
        </w:rPr>
        <w:t>actual inflation rate plus half</w:t>
      </w:r>
      <w:r w:rsidR="00EE6B90" w:rsidRPr="009F3FFE">
        <w:rPr>
          <w:rFonts w:ascii="Times New Roman" w:hAnsi="Times New Roman" w:cs="Times New Roman"/>
          <w:sz w:val="24"/>
          <w:szCs w:val="24"/>
        </w:rPr>
        <w:t xml:space="preserve"> the amount by which ac</w:t>
      </w:r>
      <w:r w:rsidR="002033EC">
        <w:rPr>
          <w:rFonts w:ascii="Times New Roman" w:hAnsi="Times New Roman" w:cs="Times New Roman"/>
          <w:sz w:val="24"/>
          <w:szCs w:val="24"/>
        </w:rPr>
        <w:t xml:space="preserve">tual inflation exceeded </w:t>
      </w:r>
      <w:r w:rsidR="008208D6">
        <w:rPr>
          <w:rFonts w:ascii="Times New Roman" w:hAnsi="Times New Roman" w:cs="Times New Roman"/>
          <w:sz w:val="24"/>
          <w:szCs w:val="24"/>
        </w:rPr>
        <w:t>two</w:t>
      </w:r>
      <w:r w:rsidR="00360717">
        <w:rPr>
          <w:rFonts w:ascii="Times New Roman" w:hAnsi="Times New Roman" w:cs="Times New Roman"/>
          <w:sz w:val="24"/>
          <w:szCs w:val="24"/>
        </w:rPr>
        <w:t xml:space="preserve">. </w:t>
      </w:r>
      <w:r w:rsidR="001749C1" w:rsidRPr="009F3FFE">
        <w:rPr>
          <w:rFonts w:ascii="Times New Roman" w:hAnsi="Times New Roman" w:cs="Times New Roman"/>
          <w:sz w:val="24"/>
          <w:szCs w:val="24"/>
        </w:rPr>
        <w:t xml:space="preserve">If there </w:t>
      </w:r>
      <w:r w:rsidR="006E56C8">
        <w:rPr>
          <w:rFonts w:ascii="Times New Roman" w:hAnsi="Times New Roman" w:cs="Times New Roman"/>
          <w:sz w:val="24"/>
          <w:szCs w:val="24"/>
        </w:rPr>
        <w:t>is</w:t>
      </w:r>
      <w:r w:rsidR="001B5CE0" w:rsidRPr="009F3FFE">
        <w:rPr>
          <w:rFonts w:ascii="Times New Roman" w:hAnsi="Times New Roman" w:cs="Times New Roman"/>
          <w:sz w:val="24"/>
          <w:szCs w:val="24"/>
        </w:rPr>
        <w:t xml:space="preserve"> also</w:t>
      </w:r>
      <w:r w:rsidR="004C512D" w:rsidRPr="009F3FFE">
        <w:rPr>
          <w:rFonts w:ascii="Times New Roman" w:hAnsi="Times New Roman" w:cs="Times New Roman"/>
          <w:sz w:val="24"/>
          <w:szCs w:val="24"/>
        </w:rPr>
        <w:t xml:space="preserve"> an output gap</w:t>
      </w:r>
      <w:r w:rsidR="004C5933">
        <w:rPr>
          <w:rFonts w:ascii="Times New Roman" w:hAnsi="Times New Roman" w:cs="Times New Roman"/>
          <w:sz w:val="24"/>
          <w:szCs w:val="24"/>
        </w:rPr>
        <w:t xml:space="preserve"> (i</w:t>
      </w:r>
      <w:r w:rsidR="004C5933" w:rsidRPr="009F3FFE">
        <w:rPr>
          <w:rFonts w:ascii="Times New Roman" w:hAnsi="Times New Roman" w:cs="Times New Roman"/>
          <w:sz w:val="24"/>
          <w:szCs w:val="24"/>
        </w:rPr>
        <w:t>f o</w:t>
      </w:r>
      <w:r w:rsidR="004C5933">
        <w:rPr>
          <w:rFonts w:ascii="Times New Roman" w:hAnsi="Times New Roman" w:cs="Times New Roman"/>
          <w:sz w:val="24"/>
          <w:szCs w:val="24"/>
        </w:rPr>
        <w:t xml:space="preserve">utput is below potential, the output gap is </w:t>
      </w:r>
      <w:r w:rsidR="004C5933" w:rsidRPr="009F3FFE">
        <w:rPr>
          <w:rFonts w:ascii="Times New Roman" w:hAnsi="Times New Roman" w:cs="Times New Roman"/>
          <w:sz w:val="24"/>
          <w:szCs w:val="24"/>
        </w:rPr>
        <w:t>a negative number</w:t>
      </w:r>
      <w:r w:rsidR="004C5933">
        <w:rPr>
          <w:rFonts w:ascii="Times New Roman" w:hAnsi="Times New Roman" w:cs="Times New Roman"/>
          <w:sz w:val="24"/>
          <w:szCs w:val="24"/>
        </w:rPr>
        <w:t>)</w:t>
      </w:r>
      <w:r w:rsidR="004C512D" w:rsidRPr="009F3FFE">
        <w:rPr>
          <w:rFonts w:ascii="Times New Roman" w:hAnsi="Times New Roman" w:cs="Times New Roman"/>
          <w:sz w:val="24"/>
          <w:szCs w:val="24"/>
        </w:rPr>
        <w:t xml:space="preserve">, then </w:t>
      </w:r>
      <w:r w:rsidR="00EE6B90" w:rsidRPr="009F3FFE">
        <w:rPr>
          <w:rFonts w:ascii="Times New Roman" w:hAnsi="Times New Roman" w:cs="Times New Roman"/>
          <w:sz w:val="24"/>
          <w:szCs w:val="24"/>
        </w:rPr>
        <w:t>reduce the mandated r by half</w:t>
      </w:r>
      <w:r w:rsidR="00A35A63">
        <w:rPr>
          <w:rFonts w:ascii="Times New Roman" w:hAnsi="Times New Roman" w:cs="Times New Roman"/>
          <w:sz w:val="24"/>
          <w:szCs w:val="24"/>
        </w:rPr>
        <w:t xml:space="preserve"> the gap in percentage points</w:t>
      </w:r>
      <w:r w:rsidR="00360717">
        <w:rPr>
          <w:rFonts w:ascii="Times New Roman" w:hAnsi="Times New Roman" w:cs="Times New Roman"/>
          <w:sz w:val="24"/>
          <w:szCs w:val="24"/>
        </w:rPr>
        <w:t xml:space="preserve">. </w:t>
      </w:r>
      <w:r w:rsidR="001B5CE0" w:rsidRPr="009F3FFE">
        <w:rPr>
          <w:rFonts w:ascii="Times New Roman" w:hAnsi="Times New Roman" w:cs="Times New Roman"/>
          <w:sz w:val="24"/>
          <w:szCs w:val="24"/>
        </w:rPr>
        <w:t>Stated mor</w:t>
      </w:r>
      <w:r w:rsidR="001749C1" w:rsidRPr="009F3FFE">
        <w:rPr>
          <w:rFonts w:ascii="Times New Roman" w:hAnsi="Times New Roman" w:cs="Times New Roman"/>
          <w:sz w:val="24"/>
          <w:szCs w:val="24"/>
        </w:rPr>
        <w:t xml:space="preserve">e colloquially, if inflation </w:t>
      </w:r>
      <w:r w:rsidR="0035055E">
        <w:rPr>
          <w:rFonts w:ascii="Times New Roman" w:hAnsi="Times New Roman" w:cs="Times New Roman"/>
          <w:sz w:val="24"/>
          <w:szCs w:val="24"/>
        </w:rPr>
        <w:t>i</w:t>
      </w:r>
      <w:r w:rsidR="001749C1" w:rsidRPr="009F3FFE">
        <w:rPr>
          <w:rFonts w:ascii="Times New Roman" w:hAnsi="Times New Roman" w:cs="Times New Roman"/>
          <w:sz w:val="24"/>
          <w:szCs w:val="24"/>
        </w:rPr>
        <w:t xml:space="preserve">s </w:t>
      </w:r>
      <w:r w:rsidR="001B5CE0" w:rsidRPr="009F3FFE">
        <w:rPr>
          <w:rFonts w:ascii="Times New Roman" w:hAnsi="Times New Roman" w:cs="Times New Roman"/>
          <w:sz w:val="24"/>
          <w:szCs w:val="24"/>
        </w:rPr>
        <w:t xml:space="preserve">above target, hit it </w:t>
      </w:r>
      <w:r w:rsidR="004A2730">
        <w:rPr>
          <w:rFonts w:ascii="Times New Roman" w:hAnsi="Times New Roman" w:cs="Times New Roman"/>
          <w:sz w:val="24"/>
          <w:szCs w:val="24"/>
        </w:rPr>
        <w:t>hard w</w:t>
      </w:r>
      <w:r w:rsidR="004A2730" w:rsidRPr="009F3FFE">
        <w:rPr>
          <w:rFonts w:ascii="Times New Roman" w:hAnsi="Times New Roman" w:cs="Times New Roman"/>
          <w:sz w:val="24"/>
          <w:szCs w:val="24"/>
        </w:rPr>
        <w:t xml:space="preserve">ith </w:t>
      </w:r>
      <w:r w:rsidR="001B5CE0" w:rsidRPr="009F3FFE">
        <w:rPr>
          <w:rFonts w:ascii="Times New Roman" w:hAnsi="Times New Roman" w:cs="Times New Roman"/>
          <w:sz w:val="24"/>
          <w:szCs w:val="24"/>
        </w:rPr>
        <w:t>higher nominal</w:t>
      </w:r>
      <w:r w:rsidR="001749C1" w:rsidRPr="009F3FFE">
        <w:rPr>
          <w:rFonts w:ascii="Times New Roman" w:hAnsi="Times New Roman" w:cs="Times New Roman"/>
          <w:sz w:val="24"/>
          <w:szCs w:val="24"/>
        </w:rPr>
        <w:t xml:space="preserve"> interest rates, but if there </w:t>
      </w:r>
      <w:r w:rsidR="0035055E">
        <w:rPr>
          <w:rFonts w:ascii="Times New Roman" w:hAnsi="Times New Roman" w:cs="Times New Roman"/>
          <w:sz w:val="24"/>
          <w:szCs w:val="24"/>
        </w:rPr>
        <w:t>i</w:t>
      </w:r>
      <w:r w:rsidR="001749C1" w:rsidRPr="009F3FFE">
        <w:rPr>
          <w:rFonts w:ascii="Times New Roman" w:hAnsi="Times New Roman" w:cs="Times New Roman"/>
          <w:sz w:val="24"/>
          <w:szCs w:val="24"/>
        </w:rPr>
        <w:t xml:space="preserve">s </w:t>
      </w:r>
      <w:r w:rsidR="00307762">
        <w:rPr>
          <w:rFonts w:ascii="Times New Roman" w:hAnsi="Times New Roman" w:cs="Times New Roman"/>
          <w:sz w:val="24"/>
          <w:szCs w:val="24"/>
        </w:rPr>
        <w:t>a negative output gap,</w:t>
      </w:r>
      <w:r w:rsidR="001B5CE0" w:rsidRPr="009F3FFE">
        <w:rPr>
          <w:rFonts w:ascii="Times New Roman" w:hAnsi="Times New Roman" w:cs="Times New Roman"/>
          <w:sz w:val="24"/>
          <w:szCs w:val="24"/>
        </w:rPr>
        <w:t xml:space="preserve"> try to close it with lower nominal intere</w:t>
      </w:r>
      <w:r w:rsidR="00307762">
        <w:rPr>
          <w:rFonts w:ascii="Times New Roman" w:hAnsi="Times New Roman" w:cs="Times New Roman"/>
          <w:sz w:val="24"/>
          <w:szCs w:val="24"/>
        </w:rPr>
        <w:t xml:space="preserve">st rates.  The Taylor rule described </w:t>
      </w:r>
      <w:r w:rsidR="001B5CE0" w:rsidRPr="009F3FFE">
        <w:rPr>
          <w:rFonts w:ascii="Times New Roman" w:hAnsi="Times New Roman" w:cs="Times New Roman"/>
          <w:sz w:val="24"/>
          <w:szCs w:val="24"/>
        </w:rPr>
        <w:t>and prescribe</w:t>
      </w:r>
      <w:r w:rsidR="00307762">
        <w:rPr>
          <w:rFonts w:ascii="Times New Roman" w:hAnsi="Times New Roman" w:cs="Times New Roman"/>
          <w:sz w:val="24"/>
          <w:szCs w:val="24"/>
        </w:rPr>
        <w:t>d</w:t>
      </w:r>
      <w:r w:rsidR="001B5CE0" w:rsidRPr="009F3FFE">
        <w:rPr>
          <w:rFonts w:ascii="Times New Roman" w:hAnsi="Times New Roman" w:cs="Times New Roman"/>
          <w:sz w:val="24"/>
          <w:szCs w:val="24"/>
        </w:rPr>
        <w:t xml:space="preserve"> how these som</w:t>
      </w:r>
      <w:r w:rsidR="00EE6B90" w:rsidRPr="009F3FFE">
        <w:rPr>
          <w:rFonts w:ascii="Times New Roman" w:hAnsi="Times New Roman" w:cs="Times New Roman"/>
          <w:sz w:val="24"/>
          <w:szCs w:val="24"/>
        </w:rPr>
        <w:t>etimes conflicting imperatives we</w:t>
      </w:r>
      <w:r w:rsidR="001B5CE0" w:rsidRPr="009F3FFE">
        <w:rPr>
          <w:rFonts w:ascii="Times New Roman" w:hAnsi="Times New Roman" w:cs="Times New Roman"/>
          <w:sz w:val="24"/>
          <w:szCs w:val="24"/>
        </w:rPr>
        <w:t>re or should be reconciled</w:t>
      </w:r>
      <w:r>
        <w:rPr>
          <w:rFonts w:ascii="Times New Roman" w:hAnsi="Times New Roman" w:cs="Times New Roman"/>
          <w:sz w:val="24"/>
          <w:szCs w:val="24"/>
        </w:rPr>
        <w:t>:</w:t>
      </w:r>
    </w:p>
    <w:p w14:paraId="08ED75AD" w14:textId="3EF34B32" w:rsidR="006E5CBA" w:rsidRPr="009F3FFE" w:rsidRDefault="006E5CBA" w:rsidP="009F3FFE">
      <w:pPr>
        <w:spacing w:line="480" w:lineRule="auto"/>
        <w:ind w:firstLine="576"/>
        <w:rPr>
          <w:rFonts w:ascii="Times New Roman" w:hAnsi="Times New Roman" w:cs="Times New Roman"/>
          <w:sz w:val="24"/>
          <w:szCs w:val="24"/>
        </w:rPr>
      </w:pPr>
      <w:r>
        <w:rPr>
          <w:rFonts w:ascii="Times New Roman" w:hAnsi="Times New Roman" w:cs="Times New Roman"/>
          <w:sz w:val="24"/>
          <w:szCs w:val="24"/>
        </w:rPr>
        <w:t>r</w:t>
      </w:r>
      <w:r w:rsidRPr="00FE4CE3">
        <w:rPr>
          <w:rFonts w:ascii="Times New Roman" w:hAnsi="Times New Roman" w:cs="Times New Roman"/>
          <w:sz w:val="24"/>
          <w:szCs w:val="24"/>
          <w:vertAlign w:val="subscript"/>
        </w:rPr>
        <w:t>t</w:t>
      </w:r>
      <w:r>
        <w:rPr>
          <w:rFonts w:ascii="Times New Roman" w:hAnsi="Times New Roman" w:cs="Times New Roman"/>
          <w:sz w:val="24"/>
          <w:szCs w:val="24"/>
        </w:rPr>
        <w:t xml:space="preserve">  =  2  +  p</w:t>
      </w:r>
      <w:r w:rsidRPr="006801F4">
        <w:rPr>
          <w:rFonts w:ascii="Times New Roman" w:hAnsi="Times New Roman" w:cs="Times New Roman"/>
          <w:sz w:val="24"/>
          <w:szCs w:val="24"/>
          <w:vertAlign w:val="subscript"/>
        </w:rPr>
        <w:t>t</w:t>
      </w:r>
      <w:r>
        <w:rPr>
          <w:rFonts w:ascii="Times New Roman" w:hAnsi="Times New Roman" w:cs="Times New Roman"/>
          <w:sz w:val="24"/>
          <w:szCs w:val="24"/>
        </w:rPr>
        <w:t xml:space="preserve">    +  .5(p</w:t>
      </w:r>
      <w:r w:rsidRPr="006801F4">
        <w:rPr>
          <w:rFonts w:ascii="Times New Roman" w:hAnsi="Times New Roman" w:cs="Times New Roman"/>
          <w:sz w:val="24"/>
          <w:szCs w:val="24"/>
          <w:vertAlign w:val="subscript"/>
        </w:rPr>
        <w:t>t</w:t>
      </w:r>
      <w:r>
        <w:rPr>
          <w:rFonts w:ascii="Times New Roman" w:hAnsi="Times New Roman" w:cs="Times New Roman"/>
          <w:sz w:val="24"/>
          <w:szCs w:val="24"/>
          <w:vertAlign w:val="subscript"/>
        </w:rPr>
        <w:t xml:space="preserve"> </w:t>
      </w:r>
      <w:r>
        <w:rPr>
          <w:rFonts w:ascii="Times New Roman" w:hAnsi="Times New Roman" w:cs="Times New Roman"/>
          <w:sz w:val="24"/>
          <w:szCs w:val="24"/>
        </w:rPr>
        <w:t>– 2)   + .5(y</w:t>
      </w:r>
      <w:r w:rsidRPr="006801F4">
        <w:rPr>
          <w:rFonts w:ascii="Times New Roman" w:hAnsi="Times New Roman" w:cs="Times New Roman"/>
          <w:sz w:val="24"/>
          <w:szCs w:val="24"/>
          <w:vertAlign w:val="subscript"/>
        </w:rPr>
        <w:t>t</w:t>
      </w:r>
      <w:r>
        <w:rPr>
          <w:rFonts w:ascii="Times New Roman" w:hAnsi="Times New Roman" w:cs="Times New Roman"/>
          <w:sz w:val="24"/>
          <w:szCs w:val="24"/>
        </w:rPr>
        <w:t xml:space="preserve"> – y*</w:t>
      </w:r>
      <w:r w:rsidR="004C5933">
        <w:rPr>
          <w:rFonts w:ascii="Times New Roman" w:hAnsi="Times New Roman" w:cs="Times New Roman"/>
          <w:sz w:val="24"/>
          <w:szCs w:val="24"/>
        </w:rPr>
        <w:t>)</w:t>
      </w:r>
    </w:p>
    <w:p w14:paraId="3F40E987" w14:textId="0C6B7EC8" w:rsidR="001B5CE0" w:rsidRPr="009F3FFE" w:rsidRDefault="001B5CE0" w:rsidP="009F3FF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 xml:space="preserve">There is widespread agreement that setting interest rates too high can produce a recession.  Doing so can generate a real interest rate above that which will elicit sufficient autonomous planned expenditure to ensure that output is at potential.  </w:t>
      </w:r>
      <w:r w:rsidR="00361204" w:rsidRPr="009F3FFE">
        <w:rPr>
          <w:rFonts w:ascii="Times New Roman" w:hAnsi="Times New Roman" w:cs="Times New Roman"/>
          <w:sz w:val="24"/>
          <w:szCs w:val="24"/>
        </w:rPr>
        <w:t>Thus, an</w:t>
      </w:r>
      <w:r w:rsidRPr="009F3FFE">
        <w:rPr>
          <w:rFonts w:ascii="Times New Roman" w:hAnsi="Times New Roman" w:cs="Times New Roman"/>
          <w:sz w:val="24"/>
          <w:szCs w:val="24"/>
        </w:rPr>
        <w:t xml:space="preserve"> excessively tight or contractionary policy</w:t>
      </w:r>
      <w:r w:rsidR="001749C1" w:rsidRPr="009F3FFE">
        <w:rPr>
          <w:rFonts w:ascii="Times New Roman" w:hAnsi="Times New Roman" w:cs="Times New Roman"/>
          <w:sz w:val="24"/>
          <w:szCs w:val="24"/>
        </w:rPr>
        <w:t xml:space="preserve"> can cause a</w:t>
      </w:r>
      <w:r w:rsidR="009F3FFE">
        <w:rPr>
          <w:rFonts w:ascii="Times New Roman" w:hAnsi="Times New Roman" w:cs="Times New Roman"/>
          <w:sz w:val="24"/>
          <w:szCs w:val="24"/>
        </w:rPr>
        <w:t>n economic downturn</w:t>
      </w:r>
      <w:r w:rsidR="001749C1" w:rsidRPr="009F3FFE">
        <w:rPr>
          <w:rFonts w:ascii="Times New Roman" w:hAnsi="Times New Roman" w:cs="Times New Roman"/>
          <w:sz w:val="24"/>
          <w:szCs w:val="24"/>
        </w:rPr>
        <w:t xml:space="preserve"> by generating, through its effect</w:t>
      </w:r>
      <w:r w:rsidRPr="009F3FFE">
        <w:rPr>
          <w:rFonts w:ascii="Times New Roman" w:hAnsi="Times New Roman" w:cs="Times New Roman"/>
          <w:sz w:val="24"/>
          <w:szCs w:val="24"/>
        </w:rPr>
        <w:t xml:space="preserve"> </w:t>
      </w:r>
      <w:r w:rsidR="001749C1" w:rsidRPr="009F3FFE">
        <w:rPr>
          <w:rFonts w:ascii="Times New Roman" w:hAnsi="Times New Roman" w:cs="Times New Roman"/>
          <w:sz w:val="24"/>
          <w:szCs w:val="24"/>
        </w:rPr>
        <w:t xml:space="preserve">on investment and consumer durable spending </w:t>
      </w:r>
      <w:r w:rsidR="00361204" w:rsidRPr="009F3FFE">
        <w:rPr>
          <w:rFonts w:ascii="Times New Roman" w:hAnsi="Times New Roman" w:cs="Times New Roman"/>
          <w:sz w:val="24"/>
          <w:szCs w:val="24"/>
        </w:rPr>
        <w:t>(</w:t>
      </w:r>
      <w:r w:rsidR="001749C1" w:rsidRPr="009F3FFE">
        <w:rPr>
          <w:rFonts w:ascii="Times New Roman" w:hAnsi="Times New Roman" w:cs="Times New Roman"/>
          <w:sz w:val="24"/>
          <w:szCs w:val="24"/>
        </w:rPr>
        <w:t>as well, in a flex</w:t>
      </w:r>
      <w:r w:rsidR="00361204" w:rsidRPr="009F3FFE">
        <w:rPr>
          <w:rFonts w:ascii="Times New Roman" w:hAnsi="Times New Roman" w:cs="Times New Roman"/>
          <w:sz w:val="24"/>
          <w:szCs w:val="24"/>
        </w:rPr>
        <w:t xml:space="preserve">ible exchange rate environment, on </w:t>
      </w:r>
      <w:r w:rsidR="001749C1" w:rsidRPr="009F3FFE">
        <w:rPr>
          <w:rFonts w:ascii="Times New Roman" w:hAnsi="Times New Roman" w:cs="Times New Roman"/>
          <w:sz w:val="24"/>
          <w:szCs w:val="24"/>
        </w:rPr>
        <w:t>exports</w:t>
      </w:r>
      <w:r w:rsidR="00361204" w:rsidRPr="009F3FFE">
        <w:rPr>
          <w:rFonts w:ascii="Times New Roman" w:hAnsi="Times New Roman" w:cs="Times New Roman"/>
          <w:sz w:val="24"/>
          <w:szCs w:val="24"/>
        </w:rPr>
        <w:t>)</w:t>
      </w:r>
      <w:r w:rsidR="001749C1" w:rsidRPr="009F3FFE">
        <w:rPr>
          <w:rFonts w:ascii="Times New Roman" w:hAnsi="Times New Roman" w:cs="Times New Roman"/>
          <w:sz w:val="24"/>
          <w:szCs w:val="24"/>
        </w:rPr>
        <w:t xml:space="preserve">, </w:t>
      </w:r>
      <w:r w:rsidRPr="009F3FFE">
        <w:rPr>
          <w:rFonts w:ascii="Times New Roman" w:hAnsi="Times New Roman" w:cs="Times New Roman"/>
          <w:sz w:val="24"/>
          <w:szCs w:val="24"/>
        </w:rPr>
        <w:t xml:space="preserve">a deficiency of aggregate demand.   </w:t>
      </w:r>
      <w:r w:rsidR="00EE6B90" w:rsidRPr="009F3FFE">
        <w:rPr>
          <w:rFonts w:ascii="Times New Roman" w:hAnsi="Times New Roman" w:cs="Times New Roman"/>
          <w:sz w:val="24"/>
          <w:szCs w:val="24"/>
        </w:rPr>
        <w:t xml:space="preserve">What were </w:t>
      </w:r>
      <w:r w:rsidRPr="009F3FFE">
        <w:rPr>
          <w:rFonts w:ascii="Times New Roman" w:hAnsi="Times New Roman" w:cs="Times New Roman"/>
          <w:sz w:val="24"/>
          <w:szCs w:val="24"/>
        </w:rPr>
        <w:t xml:space="preserve">the dangers of setting interest rates too </w:t>
      </w:r>
      <w:r w:rsidRPr="009F3FFE">
        <w:rPr>
          <w:rFonts w:ascii="Times New Roman" w:hAnsi="Times New Roman" w:cs="Times New Roman"/>
          <w:sz w:val="24"/>
          <w:szCs w:val="24"/>
        </w:rPr>
        <w:lastRenderedPageBreak/>
        <w:t>low?   In the context of Taylor</w:t>
      </w:r>
      <w:r w:rsidR="00EE6B90" w:rsidRPr="009F3FFE">
        <w:rPr>
          <w:rFonts w:ascii="Times New Roman" w:hAnsi="Times New Roman" w:cs="Times New Roman"/>
          <w:sz w:val="24"/>
          <w:szCs w:val="24"/>
        </w:rPr>
        <w:t>’s original article, the risks</w:t>
      </w:r>
      <w:r w:rsidRPr="009F3FFE">
        <w:rPr>
          <w:rFonts w:ascii="Times New Roman" w:hAnsi="Times New Roman" w:cs="Times New Roman"/>
          <w:sz w:val="24"/>
          <w:szCs w:val="24"/>
        </w:rPr>
        <w:t xml:space="preserve"> were</w:t>
      </w:r>
      <w:r w:rsidR="00194AF9">
        <w:rPr>
          <w:rFonts w:ascii="Times New Roman" w:hAnsi="Times New Roman" w:cs="Times New Roman"/>
          <w:sz w:val="24"/>
          <w:szCs w:val="24"/>
        </w:rPr>
        <w:t xml:space="preserve"> limited to</w:t>
      </w:r>
      <w:r w:rsidRPr="009F3FFE">
        <w:rPr>
          <w:rFonts w:ascii="Times New Roman" w:hAnsi="Times New Roman" w:cs="Times New Roman"/>
          <w:sz w:val="24"/>
          <w:szCs w:val="24"/>
        </w:rPr>
        <w:t xml:space="preserve"> inflation and possibly depreciation of the exchange rate</w:t>
      </w:r>
      <w:r w:rsidR="00670C18">
        <w:rPr>
          <w:rFonts w:ascii="Times New Roman" w:hAnsi="Times New Roman" w:cs="Times New Roman"/>
          <w:sz w:val="24"/>
          <w:szCs w:val="24"/>
        </w:rPr>
        <w:t xml:space="preserve"> </w:t>
      </w:r>
      <w:r w:rsidRPr="009F3FFE">
        <w:rPr>
          <w:rFonts w:ascii="Times New Roman" w:hAnsi="Times New Roman" w:cs="Times New Roman"/>
          <w:sz w:val="24"/>
          <w:szCs w:val="24"/>
        </w:rPr>
        <w:t xml:space="preserve">which, by raising import prices in domestic currency, would </w:t>
      </w:r>
      <w:r w:rsidR="001749C1" w:rsidRPr="009F3FFE">
        <w:rPr>
          <w:rFonts w:ascii="Times New Roman" w:hAnsi="Times New Roman" w:cs="Times New Roman"/>
          <w:sz w:val="24"/>
          <w:szCs w:val="24"/>
        </w:rPr>
        <w:t>a</w:t>
      </w:r>
      <w:r w:rsidRPr="009F3FFE">
        <w:rPr>
          <w:rFonts w:ascii="Times New Roman" w:hAnsi="Times New Roman" w:cs="Times New Roman"/>
          <w:sz w:val="24"/>
          <w:szCs w:val="24"/>
        </w:rPr>
        <w:t xml:space="preserve">dd to inflationary pressures. </w:t>
      </w:r>
    </w:p>
    <w:p w14:paraId="384BAE0B" w14:textId="3AD87E8F" w:rsidR="001B5CE0" w:rsidRPr="009F3FFE" w:rsidRDefault="001B5CE0" w:rsidP="009F3FF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 xml:space="preserve">More recently, Taylor has criticized the Fed for having run interest rates that were too low between </w:t>
      </w:r>
      <w:r w:rsidR="005B5865">
        <w:rPr>
          <w:rFonts w:ascii="Times New Roman" w:hAnsi="Times New Roman" w:cs="Times New Roman"/>
          <w:sz w:val="24"/>
          <w:szCs w:val="24"/>
        </w:rPr>
        <w:t xml:space="preserve">late </w:t>
      </w:r>
      <w:r w:rsidRPr="009F3FFE">
        <w:rPr>
          <w:rFonts w:ascii="Times New Roman" w:hAnsi="Times New Roman" w:cs="Times New Roman"/>
          <w:sz w:val="24"/>
          <w:szCs w:val="24"/>
        </w:rPr>
        <w:t>2001 and</w:t>
      </w:r>
      <w:r w:rsidR="005B5865">
        <w:rPr>
          <w:rFonts w:ascii="Times New Roman" w:hAnsi="Times New Roman" w:cs="Times New Roman"/>
          <w:sz w:val="24"/>
          <w:szCs w:val="24"/>
        </w:rPr>
        <w:t xml:space="preserve"> the end of</w:t>
      </w:r>
      <w:r w:rsidR="00194AF9">
        <w:rPr>
          <w:rFonts w:ascii="Times New Roman" w:hAnsi="Times New Roman" w:cs="Times New Roman"/>
          <w:sz w:val="24"/>
          <w:szCs w:val="24"/>
        </w:rPr>
        <w:t xml:space="preserve"> 2004.  But in terms of the original formulation of the Taylor rule, there is little </w:t>
      </w:r>
      <w:r w:rsidR="00C125FD">
        <w:rPr>
          <w:rFonts w:ascii="Times New Roman" w:hAnsi="Times New Roman" w:cs="Times New Roman"/>
          <w:sz w:val="24"/>
          <w:szCs w:val="24"/>
        </w:rPr>
        <w:t>evidence that these rates damaged the economy</w:t>
      </w:r>
      <w:r w:rsidR="00463681" w:rsidRPr="009F3FFE">
        <w:rPr>
          <w:rFonts w:ascii="Times New Roman" w:hAnsi="Times New Roman" w:cs="Times New Roman"/>
          <w:sz w:val="24"/>
          <w:szCs w:val="24"/>
        </w:rPr>
        <w:t>.  T</w:t>
      </w:r>
      <w:r w:rsidR="00361204" w:rsidRPr="009F3FFE">
        <w:rPr>
          <w:rFonts w:ascii="Times New Roman" w:hAnsi="Times New Roman" w:cs="Times New Roman"/>
          <w:sz w:val="24"/>
          <w:szCs w:val="24"/>
        </w:rPr>
        <w:t xml:space="preserve">he </w:t>
      </w:r>
      <w:r w:rsidR="00463681" w:rsidRPr="009F3FFE">
        <w:rPr>
          <w:rFonts w:ascii="Times New Roman" w:hAnsi="Times New Roman" w:cs="Times New Roman"/>
          <w:sz w:val="24"/>
          <w:szCs w:val="24"/>
        </w:rPr>
        <w:t>negative consequence</w:t>
      </w:r>
      <w:r w:rsidR="00361204" w:rsidRPr="009F3FFE">
        <w:rPr>
          <w:rFonts w:ascii="Times New Roman" w:hAnsi="Times New Roman" w:cs="Times New Roman"/>
          <w:sz w:val="24"/>
          <w:szCs w:val="24"/>
        </w:rPr>
        <w:t>s</w:t>
      </w:r>
      <w:r w:rsidR="00463681" w:rsidRPr="009F3FFE">
        <w:rPr>
          <w:rFonts w:ascii="Times New Roman" w:hAnsi="Times New Roman" w:cs="Times New Roman"/>
          <w:sz w:val="24"/>
          <w:szCs w:val="24"/>
        </w:rPr>
        <w:t xml:space="preserve"> of too low interest rates suggested in Taylor’s original article – h</w:t>
      </w:r>
      <w:r w:rsidR="00194AF9">
        <w:rPr>
          <w:rFonts w:ascii="Times New Roman" w:hAnsi="Times New Roman" w:cs="Times New Roman"/>
          <w:sz w:val="24"/>
          <w:szCs w:val="24"/>
        </w:rPr>
        <w:t xml:space="preserve">igh and/or rising inflation and/or </w:t>
      </w:r>
      <w:r w:rsidR="00463681" w:rsidRPr="009F3FFE">
        <w:rPr>
          <w:rFonts w:ascii="Times New Roman" w:hAnsi="Times New Roman" w:cs="Times New Roman"/>
          <w:sz w:val="24"/>
          <w:szCs w:val="24"/>
        </w:rPr>
        <w:t xml:space="preserve">a depreciating exchange rate </w:t>
      </w:r>
      <w:r w:rsidR="00C125FD">
        <w:rPr>
          <w:rFonts w:ascii="Times New Roman" w:hAnsi="Times New Roman" w:cs="Times New Roman"/>
          <w:sz w:val="24"/>
          <w:szCs w:val="24"/>
        </w:rPr>
        <w:t>–</w:t>
      </w:r>
      <w:r w:rsidR="00463681" w:rsidRPr="009F3FFE">
        <w:rPr>
          <w:rFonts w:ascii="Times New Roman" w:hAnsi="Times New Roman" w:cs="Times New Roman"/>
          <w:sz w:val="24"/>
          <w:szCs w:val="24"/>
        </w:rPr>
        <w:t xml:space="preserve"> </w:t>
      </w:r>
      <w:r w:rsidR="00C125FD">
        <w:rPr>
          <w:rFonts w:ascii="Times New Roman" w:hAnsi="Times New Roman" w:cs="Times New Roman"/>
          <w:sz w:val="24"/>
          <w:szCs w:val="24"/>
        </w:rPr>
        <w:t>simply did not</w:t>
      </w:r>
      <w:r w:rsidR="00463681" w:rsidRPr="009F3FFE">
        <w:rPr>
          <w:rFonts w:ascii="Times New Roman" w:hAnsi="Times New Roman" w:cs="Times New Roman"/>
          <w:sz w:val="24"/>
          <w:szCs w:val="24"/>
        </w:rPr>
        <w:t xml:space="preserve"> develop </w:t>
      </w:r>
      <w:r w:rsidRPr="009F3FFE">
        <w:rPr>
          <w:rFonts w:ascii="Times New Roman" w:hAnsi="Times New Roman" w:cs="Times New Roman"/>
          <w:sz w:val="24"/>
          <w:szCs w:val="24"/>
        </w:rPr>
        <w:t xml:space="preserve">during </w:t>
      </w:r>
      <w:r w:rsidR="00307762">
        <w:rPr>
          <w:rFonts w:ascii="Times New Roman" w:hAnsi="Times New Roman" w:cs="Times New Roman"/>
          <w:sz w:val="24"/>
          <w:szCs w:val="24"/>
        </w:rPr>
        <w:t xml:space="preserve">or after </w:t>
      </w:r>
      <w:r w:rsidRPr="009F3FFE">
        <w:rPr>
          <w:rFonts w:ascii="Times New Roman" w:hAnsi="Times New Roman" w:cs="Times New Roman"/>
          <w:sz w:val="24"/>
          <w:szCs w:val="24"/>
        </w:rPr>
        <w:t xml:space="preserve">this period.  The inflation rate remained moderate, </w:t>
      </w:r>
      <w:r w:rsidR="00361204" w:rsidRPr="009F3FFE">
        <w:rPr>
          <w:rFonts w:ascii="Times New Roman" w:hAnsi="Times New Roman" w:cs="Times New Roman"/>
          <w:sz w:val="24"/>
          <w:szCs w:val="24"/>
        </w:rPr>
        <w:t xml:space="preserve">and </w:t>
      </w:r>
      <w:r w:rsidRPr="009F3FFE">
        <w:rPr>
          <w:rFonts w:ascii="Times New Roman" w:hAnsi="Times New Roman" w:cs="Times New Roman"/>
          <w:sz w:val="24"/>
          <w:szCs w:val="24"/>
        </w:rPr>
        <w:t>the dollar</w:t>
      </w:r>
      <w:r w:rsidR="00463681" w:rsidRPr="009F3FFE">
        <w:rPr>
          <w:rFonts w:ascii="Times New Roman" w:hAnsi="Times New Roman" w:cs="Times New Roman"/>
          <w:sz w:val="24"/>
          <w:szCs w:val="24"/>
        </w:rPr>
        <w:t xml:space="preserve"> remai</w:t>
      </w:r>
      <w:r w:rsidR="00C125FD">
        <w:rPr>
          <w:rFonts w:ascii="Times New Roman" w:hAnsi="Times New Roman" w:cs="Times New Roman"/>
          <w:sz w:val="24"/>
          <w:szCs w:val="24"/>
        </w:rPr>
        <w:t>ned relatively strong.  E</w:t>
      </w:r>
      <w:r w:rsidR="00194AF9">
        <w:rPr>
          <w:rFonts w:ascii="Times New Roman" w:hAnsi="Times New Roman" w:cs="Times New Roman"/>
          <w:sz w:val="24"/>
          <w:szCs w:val="24"/>
        </w:rPr>
        <w:t>mployment growth was</w:t>
      </w:r>
      <w:r w:rsidR="00C125FD">
        <w:rPr>
          <w:rFonts w:ascii="Times New Roman" w:hAnsi="Times New Roman" w:cs="Times New Roman"/>
          <w:sz w:val="24"/>
          <w:szCs w:val="24"/>
        </w:rPr>
        <w:t>, moreover,</w:t>
      </w:r>
      <w:r w:rsidRPr="009F3FFE">
        <w:rPr>
          <w:rFonts w:ascii="Times New Roman" w:hAnsi="Times New Roman" w:cs="Times New Roman"/>
          <w:sz w:val="24"/>
          <w:szCs w:val="24"/>
        </w:rPr>
        <w:t xml:space="preserve"> sluggi</w:t>
      </w:r>
      <w:r w:rsidR="00463681" w:rsidRPr="009F3FFE">
        <w:rPr>
          <w:rFonts w:ascii="Times New Roman" w:hAnsi="Times New Roman" w:cs="Times New Roman"/>
          <w:sz w:val="24"/>
          <w:szCs w:val="24"/>
        </w:rPr>
        <w:t xml:space="preserve">sh, </w:t>
      </w:r>
      <w:r w:rsidR="00361204" w:rsidRPr="009F3FFE">
        <w:rPr>
          <w:rFonts w:ascii="Times New Roman" w:hAnsi="Times New Roman" w:cs="Times New Roman"/>
          <w:sz w:val="24"/>
          <w:szCs w:val="24"/>
        </w:rPr>
        <w:t xml:space="preserve">casting doubt on the </w:t>
      </w:r>
      <w:r w:rsidR="00785A96" w:rsidRPr="009F3FFE">
        <w:rPr>
          <w:rFonts w:ascii="Times New Roman" w:hAnsi="Times New Roman" w:cs="Times New Roman"/>
          <w:sz w:val="24"/>
          <w:szCs w:val="24"/>
        </w:rPr>
        <w:t xml:space="preserve">likelihood </w:t>
      </w:r>
      <w:r w:rsidR="00361204" w:rsidRPr="009F3FFE">
        <w:rPr>
          <w:rFonts w:ascii="Times New Roman" w:hAnsi="Times New Roman" w:cs="Times New Roman"/>
          <w:sz w:val="24"/>
          <w:szCs w:val="24"/>
        </w:rPr>
        <w:t xml:space="preserve">that too low rates were </w:t>
      </w:r>
      <w:r w:rsidR="00C125FD">
        <w:rPr>
          <w:rFonts w:ascii="Times New Roman" w:hAnsi="Times New Roman" w:cs="Times New Roman"/>
          <w:sz w:val="24"/>
          <w:szCs w:val="24"/>
        </w:rPr>
        <w:t xml:space="preserve">risking inflation by </w:t>
      </w:r>
      <w:r w:rsidR="00361204" w:rsidRPr="009F3FFE">
        <w:rPr>
          <w:rFonts w:ascii="Times New Roman" w:hAnsi="Times New Roman" w:cs="Times New Roman"/>
          <w:sz w:val="24"/>
          <w:szCs w:val="24"/>
        </w:rPr>
        <w:t xml:space="preserve">causing </w:t>
      </w:r>
      <w:r w:rsidRPr="009F3FFE">
        <w:rPr>
          <w:rFonts w:ascii="Times New Roman" w:hAnsi="Times New Roman" w:cs="Times New Roman"/>
          <w:sz w:val="24"/>
          <w:szCs w:val="24"/>
        </w:rPr>
        <w:t xml:space="preserve">the economy </w:t>
      </w:r>
      <w:r w:rsidR="00361204" w:rsidRPr="009F3FFE">
        <w:rPr>
          <w:rFonts w:ascii="Times New Roman" w:hAnsi="Times New Roman" w:cs="Times New Roman"/>
          <w:sz w:val="24"/>
          <w:szCs w:val="24"/>
        </w:rPr>
        <w:t>to</w:t>
      </w:r>
      <w:r w:rsidRPr="009F3FFE">
        <w:rPr>
          <w:rFonts w:ascii="Times New Roman" w:hAnsi="Times New Roman" w:cs="Times New Roman"/>
          <w:sz w:val="24"/>
          <w:szCs w:val="24"/>
        </w:rPr>
        <w:t xml:space="preserve"> </w:t>
      </w:r>
      <w:r w:rsidR="00C125FD">
        <w:rPr>
          <w:rFonts w:ascii="Times New Roman" w:hAnsi="Times New Roman" w:cs="Times New Roman"/>
          <w:sz w:val="24"/>
          <w:szCs w:val="24"/>
        </w:rPr>
        <w:t>press</w:t>
      </w:r>
      <w:r w:rsidRPr="009F3FFE">
        <w:rPr>
          <w:rFonts w:ascii="Times New Roman" w:hAnsi="Times New Roman" w:cs="Times New Roman"/>
          <w:sz w:val="24"/>
          <w:szCs w:val="24"/>
        </w:rPr>
        <w:t xml:space="preserve"> </w:t>
      </w:r>
      <w:r w:rsidR="00194AF9">
        <w:rPr>
          <w:rFonts w:ascii="Times New Roman" w:hAnsi="Times New Roman" w:cs="Times New Roman"/>
          <w:sz w:val="24"/>
          <w:szCs w:val="24"/>
        </w:rPr>
        <w:t>too tightly</w:t>
      </w:r>
      <w:r w:rsidR="00C125FD">
        <w:rPr>
          <w:rFonts w:ascii="Times New Roman" w:hAnsi="Times New Roman" w:cs="Times New Roman"/>
          <w:sz w:val="24"/>
          <w:szCs w:val="24"/>
        </w:rPr>
        <w:t xml:space="preserve"> </w:t>
      </w:r>
      <w:r w:rsidR="00C125FD" w:rsidRPr="009F3FFE">
        <w:rPr>
          <w:rFonts w:ascii="Times New Roman" w:hAnsi="Times New Roman" w:cs="Times New Roman"/>
          <w:sz w:val="24"/>
          <w:szCs w:val="24"/>
        </w:rPr>
        <w:t xml:space="preserve">against potential </w:t>
      </w:r>
      <w:r w:rsidRPr="009F3FFE">
        <w:rPr>
          <w:rFonts w:ascii="Times New Roman" w:hAnsi="Times New Roman" w:cs="Times New Roman"/>
          <w:sz w:val="24"/>
          <w:szCs w:val="24"/>
        </w:rPr>
        <w:t>from below.  So what is Taylor's case that low rates between 2001 and 2004</w:t>
      </w:r>
      <w:r w:rsidR="00785A96" w:rsidRPr="009F3FFE">
        <w:rPr>
          <w:rFonts w:ascii="Times New Roman" w:hAnsi="Times New Roman" w:cs="Times New Roman"/>
          <w:sz w:val="24"/>
          <w:szCs w:val="24"/>
        </w:rPr>
        <w:t xml:space="preserve"> </w:t>
      </w:r>
      <w:r w:rsidR="00476306">
        <w:rPr>
          <w:rFonts w:ascii="Times New Roman" w:hAnsi="Times New Roman" w:cs="Times New Roman"/>
          <w:sz w:val="24"/>
          <w:szCs w:val="24"/>
        </w:rPr>
        <w:t>damaged the economy</w:t>
      </w:r>
      <w:r w:rsidRPr="009F3FFE">
        <w:rPr>
          <w:rFonts w:ascii="Times New Roman" w:hAnsi="Times New Roman" w:cs="Times New Roman"/>
          <w:sz w:val="24"/>
          <w:szCs w:val="24"/>
        </w:rPr>
        <w:t xml:space="preserve">?  </w:t>
      </w:r>
    </w:p>
    <w:p w14:paraId="0F004A58" w14:textId="77D54C12" w:rsidR="0007276B" w:rsidRDefault="00C125FD" w:rsidP="009F3FFE">
      <w:pPr>
        <w:spacing w:line="480" w:lineRule="auto"/>
        <w:ind w:firstLine="576"/>
        <w:rPr>
          <w:rFonts w:ascii="Times New Roman" w:hAnsi="Times New Roman" w:cs="Times New Roman"/>
          <w:sz w:val="24"/>
          <w:szCs w:val="24"/>
        </w:rPr>
      </w:pPr>
      <w:r>
        <w:rPr>
          <w:rFonts w:ascii="Times New Roman" w:hAnsi="Times New Roman" w:cs="Times New Roman"/>
          <w:sz w:val="24"/>
          <w:szCs w:val="24"/>
        </w:rPr>
        <w:t>The</w:t>
      </w:r>
      <w:r w:rsidR="00194AF9">
        <w:rPr>
          <w:rFonts w:ascii="Times New Roman" w:hAnsi="Times New Roman" w:cs="Times New Roman"/>
          <w:sz w:val="24"/>
          <w:szCs w:val="24"/>
        </w:rPr>
        <w:t xml:space="preserve"> argument is that low rates were responsible for the </w:t>
      </w:r>
      <w:r w:rsidR="001B5CE0" w:rsidRPr="009F3FFE">
        <w:rPr>
          <w:rFonts w:ascii="Times New Roman" w:hAnsi="Times New Roman" w:cs="Times New Roman"/>
          <w:sz w:val="24"/>
          <w:szCs w:val="24"/>
        </w:rPr>
        <w:t>spectacular appreciation in housing prices that b</w:t>
      </w:r>
      <w:r w:rsidR="005B5865">
        <w:rPr>
          <w:rFonts w:ascii="Times New Roman" w:hAnsi="Times New Roman" w:cs="Times New Roman"/>
          <w:sz w:val="24"/>
          <w:szCs w:val="24"/>
        </w:rPr>
        <w:t>egan in 2001 and peaked in 2006 (</w:t>
      </w:r>
      <w:r w:rsidR="00476306">
        <w:rPr>
          <w:rFonts w:ascii="Times New Roman" w:hAnsi="Times New Roman" w:cs="Times New Roman"/>
          <w:sz w:val="24"/>
          <w:szCs w:val="24"/>
        </w:rPr>
        <w:t xml:space="preserve">Taylor, </w:t>
      </w:r>
      <w:r w:rsidR="005B5865">
        <w:rPr>
          <w:rFonts w:ascii="Times New Roman" w:hAnsi="Times New Roman" w:cs="Times New Roman"/>
          <w:sz w:val="24"/>
          <w:szCs w:val="24"/>
        </w:rPr>
        <w:t>2012, p. 35).</w:t>
      </w:r>
      <w:r w:rsidR="001B5CE0" w:rsidRPr="009F3FFE">
        <w:rPr>
          <w:rFonts w:ascii="Times New Roman" w:hAnsi="Times New Roman" w:cs="Times New Roman"/>
          <w:sz w:val="24"/>
          <w:szCs w:val="24"/>
        </w:rPr>
        <w:t xml:space="preserve"> This </w:t>
      </w:r>
      <w:r w:rsidR="005A5CD4">
        <w:rPr>
          <w:rFonts w:ascii="Times New Roman" w:hAnsi="Times New Roman" w:cs="Times New Roman"/>
          <w:sz w:val="24"/>
          <w:szCs w:val="24"/>
        </w:rPr>
        <w:t>adds</w:t>
      </w:r>
      <w:r w:rsidR="00421659">
        <w:rPr>
          <w:rFonts w:ascii="Times New Roman" w:hAnsi="Times New Roman" w:cs="Times New Roman"/>
          <w:sz w:val="24"/>
          <w:szCs w:val="24"/>
        </w:rPr>
        <w:t xml:space="preserve"> </w:t>
      </w:r>
      <w:r w:rsidR="001B5CE0" w:rsidRPr="009F3FFE">
        <w:rPr>
          <w:rFonts w:ascii="Times New Roman" w:hAnsi="Times New Roman" w:cs="Times New Roman"/>
          <w:sz w:val="24"/>
          <w:szCs w:val="24"/>
        </w:rPr>
        <w:t xml:space="preserve">a new </w:t>
      </w:r>
      <w:r w:rsidR="00F9781C">
        <w:rPr>
          <w:rFonts w:ascii="Times New Roman" w:hAnsi="Times New Roman" w:cs="Times New Roman"/>
          <w:sz w:val="24"/>
          <w:szCs w:val="24"/>
        </w:rPr>
        <w:t>complexity</w:t>
      </w:r>
      <w:r w:rsidR="00D47DCE">
        <w:rPr>
          <w:rFonts w:ascii="Times New Roman" w:hAnsi="Times New Roman" w:cs="Times New Roman"/>
          <w:sz w:val="24"/>
          <w:szCs w:val="24"/>
        </w:rPr>
        <w:t xml:space="preserve"> </w:t>
      </w:r>
      <w:r w:rsidR="005A5CD4">
        <w:rPr>
          <w:rFonts w:ascii="Times New Roman" w:hAnsi="Times New Roman" w:cs="Times New Roman"/>
          <w:sz w:val="24"/>
          <w:szCs w:val="24"/>
        </w:rPr>
        <w:t>to</w:t>
      </w:r>
      <w:r w:rsidR="001B5CE0" w:rsidRPr="009F3FFE">
        <w:rPr>
          <w:rFonts w:ascii="Times New Roman" w:hAnsi="Times New Roman" w:cs="Times New Roman"/>
          <w:sz w:val="24"/>
          <w:szCs w:val="24"/>
        </w:rPr>
        <w:t xml:space="preserve"> </w:t>
      </w:r>
      <w:r w:rsidR="008B5FA8" w:rsidRPr="009F3FFE">
        <w:rPr>
          <w:rFonts w:ascii="Times New Roman" w:hAnsi="Times New Roman" w:cs="Times New Roman"/>
          <w:sz w:val="24"/>
          <w:szCs w:val="24"/>
        </w:rPr>
        <w:t>th</w:t>
      </w:r>
      <w:r w:rsidR="005A5CD4">
        <w:rPr>
          <w:rFonts w:ascii="Times New Roman" w:hAnsi="Times New Roman" w:cs="Times New Roman"/>
          <w:sz w:val="24"/>
          <w:szCs w:val="24"/>
        </w:rPr>
        <w:t xml:space="preserve">e </w:t>
      </w:r>
      <w:r w:rsidR="00194AF9">
        <w:rPr>
          <w:rFonts w:ascii="Times New Roman" w:hAnsi="Times New Roman" w:cs="Times New Roman"/>
          <w:sz w:val="24"/>
          <w:szCs w:val="24"/>
        </w:rPr>
        <w:t>policy rule</w:t>
      </w:r>
      <w:r w:rsidR="001B5CE0" w:rsidRPr="009F3FFE">
        <w:rPr>
          <w:rFonts w:ascii="Times New Roman" w:hAnsi="Times New Roman" w:cs="Times New Roman"/>
          <w:sz w:val="24"/>
          <w:szCs w:val="24"/>
        </w:rPr>
        <w:t xml:space="preserve">.  Asset bubbles and the financial crises to which they </w:t>
      </w:r>
      <w:r w:rsidR="00194AF9">
        <w:rPr>
          <w:rFonts w:ascii="Times New Roman" w:hAnsi="Times New Roman" w:cs="Times New Roman"/>
          <w:sz w:val="24"/>
          <w:szCs w:val="24"/>
        </w:rPr>
        <w:t xml:space="preserve">might lead were simply not </w:t>
      </w:r>
      <w:r w:rsidR="001B5CE0" w:rsidRPr="009F3FFE">
        <w:rPr>
          <w:rFonts w:ascii="Times New Roman" w:hAnsi="Times New Roman" w:cs="Times New Roman"/>
          <w:sz w:val="24"/>
          <w:szCs w:val="24"/>
        </w:rPr>
        <w:t>on the radar screens of most macroeconomic and monetary economists</w:t>
      </w:r>
      <w:r w:rsidR="00194AF9">
        <w:rPr>
          <w:rFonts w:ascii="Times New Roman" w:hAnsi="Times New Roman" w:cs="Times New Roman"/>
          <w:sz w:val="24"/>
          <w:szCs w:val="24"/>
        </w:rPr>
        <w:t xml:space="preserve"> in 1993</w:t>
      </w:r>
      <w:r w:rsidR="001B5CE0" w:rsidRPr="009F3FFE">
        <w:rPr>
          <w:rFonts w:ascii="Times New Roman" w:hAnsi="Times New Roman" w:cs="Times New Roman"/>
          <w:sz w:val="24"/>
          <w:szCs w:val="24"/>
        </w:rPr>
        <w:t>, at least insofar as the US economy was concerned.  Since the housing boom and the ways in which it was financed are now wi</w:t>
      </w:r>
      <w:r w:rsidR="008B5FA8" w:rsidRPr="009F3FFE">
        <w:rPr>
          <w:rFonts w:ascii="Times New Roman" w:hAnsi="Times New Roman" w:cs="Times New Roman"/>
          <w:sz w:val="24"/>
          <w:szCs w:val="24"/>
        </w:rPr>
        <w:t>dely understood to have been among the</w:t>
      </w:r>
      <w:r w:rsidR="00A35A63">
        <w:rPr>
          <w:rFonts w:ascii="Times New Roman" w:hAnsi="Times New Roman" w:cs="Times New Roman"/>
          <w:sz w:val="24"/>
          <w:szCs w:val="24"/>
        </w:rPr>
        <w:t xml:space="preserve"> most</w:t>
      </w:r>
      <w:r w:rsidR="008B5FA8" w:rsidRPr="009F3FFE">
        <w:rPr>
          <w:rFonts w:ascii="Times New Roman" w:hAnsi="Times New Roman" w:cs="Times New Roman"/>
          <w:sz w:val="24"/>
          <w:szCs w:val="24"/>
        </w:rPr>
        <w:t xml:space="preserve"> </w:t>
      </w:r>
      <w:r w:rsidR="001B5CE0" w:rsidRPr="009F3FFE">
        <w:rPr>
          <w:rFonts w:ascii="Times New Roman" w:hAnsi="Times New Roman" w:cs="Times New Roman"/>
          <w:sz w:val="24"/>
          <w:szCs w:val="24"/>
        </w:rPr>
        <w:t xml:space="preserve"> </w:t>
      </w:r>
      <w:r w:rsidR="00307762">
        <w:rPr>
          <w:rFonts w:ascii="Times New Roman" w:hAnsi="Times New Roman" w:cs="Times New Roman"/>
          <w:sz w:val="24"/>
          <w:szCs w:val="24"/>
        </w:rPr>
        <w:t xml:space="preserve">important </w:t>
      </w:r>
      <w:r w:rsidR="001B5CE0" w:rsidRPr="009F3FFE">
        <w:rPr>
          <w:rFonts w:ascii="Times New Roman" w:hAnsi="Times New Roman" w:cs="Times New Roman"/>
          <w:sz w:val="24"/>
          <w:szCs w:val="24"/>
        </w:rPr>
        <w:t>factors pre</w:t>
      </w:r>
      <w:r w:rsidR="00361204" w:rsidRPr="009F3FFE">
        <w:rPr>
          <w:rFonts w:ascii="Times New Roman" w:hAnsi="Times New Roman" w:cs="Times New Roman"/>
          <w:sz w:val="24"/>
          <w:szCs w:val="24"/>
        </w:rPr>
        <w:t>cipitating the financial crisis as well as the</w:t>
      </w:r>
      <w:r w:rsidR="001B5CE0" w:rsidRPr="009F3FFE">
        <w:rPr>
          <w:rFonts w:ascii="Times New Roman" w:hAnsi="Times New Roman" w:cs="Times New Roman"/>
          <w:sz w:val="24"/>
          <w:szCs w:val="24"/>
        </w:rPr>
        <w:t xml:space="preserve"> recession and slow recovery from which we are still suffering, Taylor has</w:t>
      </w:r>
      <w:r w:rsidR="009F3FFE">
        <w:rPr>
          <w:rFonts w:ascii="Times New Roman" w:hAnsi="Times New Roman" w:cs="Times New Roman"/>
          <w:sz w:val="24"/>
          <w:szCs w:val="24"/>
        </w:rPr>
        <w:t xml:space="preserve"> </w:t>
      </w:r>
      <w:r w:rsidR="001B5CE0" w:rsidRPr="009F3FFE">
        <w:rPr>
          <w:rFonts w:ascii="Times New Roman" w:hAnsi="Times New Roman" w:cs="Times New Roman"/>
          <w:sz w:val="24"/>
          <w:szCs w:val="24"/>
        </w:rPr>
        <w:t xml:space="preserve">arrived at the position that recessionary dangers </w:t>
      </w:r>
      <w:r w:rsidR="00361204" w:rsidRPr="009F3FFE">
        <w:rPr>
          <w:rFonts w:ascii="Times New Roman" w:hAnsi="Times New Roman" w:cs="Times New Roman"/>
          <w:sz w:val="24"/>
          <w:szCs w:val="24"/>
        </w:rPr>
        <w:t xml:space="preserve">can </w:t>
      </w:r>
      <w:r w:rsidR="001B5CE0" w:rsidRPr="009F3FFE">
        <w:rPr>
          <w:rFonts w:ascii="Times New Roman" w:hAnsi="Times New Roman" w:cs="Times New Roman"/>
          <w:sz w:val="24"/>
          <w:szCs w:val="24"/>
        </w:rPr>
        <w:t xml:space="preserve">inhere both in interest rates that are too high, and in those that are too low, to the degree </w:t>
      </w:r>
      <w:r w:rsidR="00E131A1">
        <w:rPr>
          <w:rFonts w:ascii="Times New Roman" w:hAnsi="Times New Roman" w:cs="Times New Roman"/>
          <w:sz w:val="24"/>
          <w:szCs w:val="24"/>
        </w:rPr>
        <w:t xml:space="preserve">that </w:t>
      </w:r>
      <w:r w:rsidR="001B5CE0" w:rsidRPr="009F3FFE">
        <w:rPr>
          <w:rFonts w:ascii="Times New Roman" w:hAnsi="Times New Roman" w:cs="Times New Roman"/>
          <w:sz w:val="24"/>
          <w:szCs w:val="24"/>
        </w:rPr>
        <w:t>they fuel an asset bubble that subsequently collapses, leadin</w:t>
      </w:r>
      <w:r w:rsidR="009F3FFE">
        <w:rPr>
          <w:rFonts w:ascii="Times New Roman" w:hAnsi="Times New Roman" w:cs="Times New Roman"/>
          <w:sz w:val="24"/>
          <w:szCs w:val="24"/>
        </w:rPr>
        <w:t>g to a long</w:t>
      </w:r>
      <w:r w:rsidR="00194AF9">
        <w:rPr>
          <w:rFonts w:ascii="Times New Roman" w:hAnsi="Times New Roman" w:cs="Times New Roman"/>
          <w:sz w:val="24"/>
          <w:szCs w:val="24"/>
        </w:rPr>
        <w:t xml:space="preserve"> recession, slow recovery, and </w:t>
      </w:r>
      <w:r w:rsidR="00360717">
        <w:rPr>
          <w:rFonts w:ascii="Times New Roman" w:hAnsi="Times New Roman" w:cs="Times New Roman"/>
          <w:sz w:val="24"/>
          <w:szCs w:val="24"/>
        </w:rPr>
        <w:t xml:space="preserve">possible  </w:t>
      </w:r>
      <w:r w:rsidR="00194AF9">
        <w:rPr>
          <w:rFonts w:ascii="Times New Roman" w:hAnsi="Times New Roman" w:cs="Times New Roman"/>
          <w:sz w:val="24"/>
          <w:szCs w:val="24"/>
        </w:rPr>
        <w:lastRenderedPageBreak/>
        <w:t>negative effects on the growth of potential.</w:t>
      </w:r>
      <w:r>
        <w:rPr>
          <w:rFonts w:ascii="Times New Roman" w:hAnsi="Times New Roman" w:cs="Times New Roman"/>
          <w:sz w:val="24"/>
          <w:szCs w:val="24"/>
        </w:rPr>
        <w:t xml:space="preserve">  Rates too low risk inflation, and if they do not </w:t>
      </w:r>
      <w:r w:rsidR="00476306">
        <w:rPr>
          <w:rFonts w:ascii="Times New Roman" w:hAnsi="Times New Roman" w:cs="Times New Roman"/>
          <w:sz w:val="24"/>
          <w:szCs w:val="24"/>
        </w:rPr>
        <w:t>in fact</w:t>
      </w:r>
      <w:r>
        <w:rPr>
          <w:rFonts w:ascii="Times New Roman" w:hAnsi="Times New Roman" w:cs="Times New Roman"/>
          <w:sz w:val="24"/>
          <w:szCs w:val="24"/>
        </w:rPr>
        <w:t xml:space="preserve"> produce inflation, they risk subsequent recession.</w:t>
      </w:r>
      <w:r w:rsidR="00B97FCF">
        <w:rPr>
          <w:rFonts w:ascii="Times New Roman" w:hAnsi="Times New Roman" w:cs="Times New Roman"/>
          <w:sz w:val="24"/>
          <w:szCs w:val="24"/>
        </w:rPr>
        <w:t xml:space="preserve">  </w:t>
      </w:r>
    </w:p>
    <w:p w14:paraId="7BADFE97" w14:textId="6CA8B6D9" w:rsidR="001B5CE0" w:rsidRPr="009F3FFE" w:rsidRDefault="0015004E" w:rsidP="009F3FFE">
      <w:pPr>
        <w:spacing w:line="480" w:lineRule="auto"/>
        <w:ind w:firstLine="576"/>
        <w:rPr>
          <w:rFonts w:ascii="Times New Roman" w:hAnsi="Times New Roman" w:cs="Times New Roman"/>
          <w:sz w:val="24"/>
          <w:szCs w:val="24"/>
        </w:rPr>
      </w:pPr>
      <w:r w:rsidRPr="008A3195">
        <w:rPr>
          <w:rFonts w:ascii="Times New Roman" w:hAnsi="Times New Roman" w:cs="Times New Roman"/>
          <w:sz w:val="24"/>
          <w:szCs w:val="24"/>
        </w:rPr>
        <w:t>Th</w:t>
      </w:r>
      <w:r w:rsidR="004A2730">
        <w:rPr>
          <w:rFonts w:ascii="Times New Roman" w:hAnsi="Times New Roman" w:cs="Times New Roman"/>
          <w:sz w:val="24"/>
          <w:szCs w:val="24"/>
        </w:rPr>
        <w:t xml:space="preserve">is type of thinking has become </w:t>
      </w:r>
      <w:r w:rsidR="00BC6D8E">
        <w:rPr>
          <w:rFonts w:ascii="Times New Roman" w:hAnsi="Times New Roman" w:cs="Times New Roman"/>
          <w:sz w:val="24"/>
          <w:szCs w:val="24"/>
        </w:rPr>
        <w:t xml:space="preserve">increasingly </w:t>
      </w:r>
      <w:r w:rsidR="00755879">
        <w:rPr>
          <w:rFonts w:ascii="Times New Roman" w:hAnsi="Times New Roman" w:cs="Times New Roman"/>
          <w:sz w:val="24"/>
          <w:szCs w:val="24"/>
        </w:rPr>
        <w:t>influential</w:t>
      </w:r>
      <w:r w:rsidR="0007276B">
        <w:rPr>
          <w:rFonts w:ascii="Times New Roman" w:hAnsi="Times New Roman" w:cs="Times New Roman"/>
          <w:sz w:val="24"/>
          <w:szCs w:val="24"/>
        </w:rPr>
        <w:t xml:space="preserve">.  </w:t>
      </w:r>
      <w:r w:rsidR="00F9781C">
        <w:rPr>
          <w:rFonts w:ascii="Times New Roman" w:hAnsi="Times New Roman" w:cs="Times New Roman"/>
          <w:sz w:val="24"/>
          <w:szCs w:val="24"/>
        </w:rPr>
        <w:t xml:space="preserve">The concerns of </w:t>
      </w:r>
      <w:r w:rsidR="00550606">
        <w:rPr>
          <w:rFonts w:ascii="Times New Roman" w:hAnsi="Times New Roman" w:cs="Times New Roman"/>
          <w:sz w:val="24"/>
          <w:szCs w:val="24"/>
        </w:rPr>
        <w:t>t</w:t>
      </w:r>
      <w:r w:rsidR="0035055E" w:rsidRPr="008A3195">
        <w:rPr>
          <w:rFonts w:ascii="Times New Roman" w:hAnsi="Times New Roman" w:cs="Times New Roman"/>
          <w:sz w:val="24"/>
          <w:szCs w:val="24"/>
        </w:rPr>
        <w:t>he Bank for International Settlements</w:t>
      </w:r>
      <w:r w:rsidR="0035055E">
        <w:rPr>
          <w:rFonts w:ascii="Times New Roman" w:hAnsi="Times New Roman" w:cs="Times New Roman"/>
          <w:sz w:val="24"/>
          <w:szCs w:val="24"/>
        </w:rPr>
        <w:t xml:space="preserve"> </w:t>
      </w:r>
      <w:r w:rsidR="00F9781C">
        <w:rPr>
          <w:rFonts w:ascii="Times New Roman" w:hAnsi="Times New Roman" w:cs="Times New Roman"/>
          <w:sz w:val="24"/>
          <w:szCs w:val="24"/>
        </w:rPr>
        <w:t>a</w:t>
      </w:r>
      <w:r w:rsidR="00550606">
        <w:rPr>
          <w:rFonts w:ascii="Times New Roman" w:hAnsi="Times New Roman" w:cs="Times New Roman"/>
          <w:sz w:val="24"/>
          <w:szCs w:val="24"/>
        </w:rPr>
        <w:t>re illustrative</w:t>
      </w:r>
      <w:r w:rsidR="00F9781C">
        <w:rPr>
          <w:rFonts w:ascii="Times New Roman" w:hAnsi="Times New Roman" w:cs="Times New Roman"/>
          <w:sz w:val="24"/>
          <w:szCs w:val="24"/>
        </w:rPr>
        <w:t xml:space="preserve">.  For a </w:t>
      </w:r>
      <w:r w:rsidR="0035055E">
        <w:rPr>
          <w:rFonts w:ascii="Times New Roman" w:hAnsi="Times New Roman" w:cs="Times New Roman"/>
          <w:sz w:val="24"/>
          <w:szCs w:val="24"/>
        </w:rPr>
        <w:t xml:space="preserve">number of years </w:t>
      </w:r>
      <w:r w:rsidR="00F9781C">
        <w:rPr>
          <w:rFonts w:ascii="Times New Roman" w:hAnsi="Times New Roman" w:cs="Times New Roman"/>
          <w:sz w:val="24"/>
          <w:szCs w:val="24"/>
        </w:rPr>
        <w:t xml:space="preserve">it has </w:t>
      </w:r>
      <w:r w:rsidR="00421659">
        <w:rPr>
          <w:rFonts w:ascii="Times New Roman" w:hAnsi="Times New Roman" w:cs="Times New Roman"/>
          <w:sz w:val="24"/>
          <w:szCs w:val="24"/>
        </w:rPr>
        <w:t xml:space="preserve">warned </w:t>
      </w:r>
      <w:r w:rsidR="0035055E">
        <w:rPr>
          <w:rFonts w:ascii="Times New Roman" w:hAnsi="Times New Roman" w:cs="Times New Roman"/>
          <w:sz w:val="24"/>
          <w:szCs w:val="24"/>
        </w:rPr>
        <w:t>about the risks of financial bubbles and their consequences. Its</w:t>
      </w:r>
      <w:r w:rsidR="004A2730">
        <w:rPr>
          <w:rFonts w:ascii="Times New Roman" w:hAnsi="Times New Roman" w:cs="Times New Roman"/>
          <w:sz w:val="24"/>
          <w:szCs w:val="24"/>
        </w:rPr>
        <w:t xml:space="preserve"> </w:t>
      </w:r>
      <w:r w:rsidR="004A2730" w:rsidRPr="008E6968">
        <w:rPr>
          <w:rFonts w:ascii="Times New Roman" w:hAnsi="Times New Roman" w:cs="Times New Roman"/>
          <w:sz w:val="24"/>
          <w:szCs w:val="24"/>
        </w:rPr>
        <w:t xml:space="preserve">2015 </w:t>
      </w:r>
      <w:r w:rsidR="004A2730" w:rsidRPr="008E6968">
        <w:rPr>
          <w:rFonts w:ascii="Times New Roman" w:hAnsi="Times New Roman" w:cs="Times New Roman"/>
          <w:sz w:val="24"/>
          <w:szCs w:val="24"/>
          <w:u w:val="single"/>
        </w:rPr>
        <w:t>Annual Report</w:t>
      </w:r>
      <w:r w:rsidR="004A2730">
        <w:rPr>
          <w:rFonts w:ascii="Times New Roman" w:hAnsi="Times New Roman" w:cs="Times New Roman"/>
          <w:sz w:val="24"/>
          <w:szCs w:val="24"/>
        </w:rPr>
        <w:t xml:space="preserve"> </w:t>
      </w:r>
      <w:r w:rsidR="0035055E">
        <w:rPr>
          <w:rFonts w:ascii="Times New Roman" w:hAnsi="Times New Roman" w:cs="Times New Roman"/>
          <w:sz w:val="24"/>
          <w:szCs w:val="24"/>
        </w:rPr>
        <w:t>argues that</w:t>
      </w:r>
      <w:r w:rsidRPr="008A3195">
        <w:rPr>
          <w:rFonts w:ascii="Times New Roman" w:hAnsi="Times New Roman" w:cs="Times New Roman"/>
          <w:sz w:val="24"/>
          <w:szCs w:val="24"/>
        </w:rPr>
        <w:t xml:space="preserve"> “Domestic policy regimes have been too narrowly concerned with stabilizing short-term output and inflation and have lost sight of slower-moving but more costly financial booms and busts.”  The original objectives of the Taylor rule – preventing an acceleration of inflation and closing output gaps - are </w:t>
      </w:r>
      <w:r>
        <w:rPr>
          <w:rFonts w:ascii="Times New Roman" w:hAnsi="Times New Roman" w:cs="Times New Roman"/>
          <w:sz w:val="24"/>
          <w:szCs w:val="24"/>
        </w:rPr>
        <w:t xml:space="preserve">now </w:t>
      </w:r>
      <w:r w:rsidRPr="008A3195">
        <w:rPr>
          <w:rFonts w:ascii="Times New Roman" w:hAnsi="Times New Roman" w:cs="Times New Roman"/>
          <w:sz w:val="24"/>
          <w:szCs w:val="24"/>
        </w:rPr>
        <w:t>dismissed as “illusory short term macroeconomic fine-tuning” (2015, p. 3).</w:t>
      </w:r>
    </w:p>
    <w:p w14:paraId="71B54156" w14:textId="4CD444DA" w:rsidR="0007276B" w:rsidRPr="00CA613A" w:rsidRDefault="00361204" w:rsidP="009F3FFE">
      <w:pPr>
        <w:spacing w:before="240" w:line="480" w:lineRule="auto"/>
        <w:ind w:firstLine="576"/>
        <w:rPr>
          <w:rFonts w:ascii="Times New Roman" w:hAnsi="Times New Roman" w:cs="Times New Roman"/>
          <w:color w:val="000000"/>
          <w:sz w:val="24"/>
          <w:szCs w:val="24"/>
          <w:shd w:val="clear" w:color="auto" w:fill="FFFFFF"/>
        </w:rPr>
      </w:pPr>
      <w:r w:rsidRPr="009F3FFE">
        <w:rPr>
          <w:rFonts w:ascii="Times New Roman" w:hAnsi="Times New Roman" w:cs="Times New Roman"/>
          <w:sz w:val="24"/>
          <w:szCs w:val="24"/>
        </w:rPr>
        <w:t>Yet it remains</w:t>
      </w:r>
      <w:r w:rsidR="001B5CE0" w:rsidRPr="009F3FFE">
        <w:rPr>
          <w:rFonts w:ascii="Times New Roman" w:hAnsi="Times New Roman" w:cs="Times New Roman"/>
          <w:sz w:val="24"/>
          <w:szCs w:val="24"/>
        </w:rPr>
        <w:t xml:space="preserve"> a matter of considerable controversy whether low nominal interest rates are</w:t>
      </w:r>
      <w:r w:rsidRPr="009F3FFE">
        <w:rPr>
          <w:rFonts w:ascii="Times New Roman" w:hAnsi="Times New Roman" w:cs="Times New Roman"/>
          <w:sz w:val="24"/>
          <w:szCs w:val="24"/>
        </w:rPr>
        <w:t xml:space="preserve"> necessary</w:t>
      </w:r>
      <w:r w:rsidR="001B5CE0" w:rsidRPr="009F3FFE">
        <w:rPr>
          <w:rFonts w:ascii="Times New Roman" w:hAnsi="Times New Roman" w:cs="Times New Roman"/>
          <w:sz w:val="24"/>
          <w:szCs w:val="24"/>
        </w:rPr>
        <w:t xml:space="preserve"> </w:t>
      </w:r>
      <w:r w:rsidRPr="009F3FFE">
        <w:rPr>
          <w:rFonts w:ascii="Times New Roman" w:hAnsi="Times New Roman" w:cs="Times New Roman"/>
          <w:sz w:val="24"/>
          <w:szCs w:val="24"/>
        </w:rPr>
        <w:t>t</w:t>
      </w:r>
      <w:r w:rsidR="00785A96" w:rsidRPr="009F3FFE">
        <w:rPr>
          <w:rFonts w:ascii="Times New Roman" w:hAnsi="Times New Roman" w:cs="Times New Roman"/>
          <w:sz w:val="24"/>
          <w:szCs w:val="24"/>
        </w:rPr>
        <w:t>o</w:t>
      </w:r>
      <w:r w:rsidR="00C125FD">
        <w:rPr>
          <w:rFonts w:ascii="Times New Roman" w:hAnsi="Times New Roman" w:cs="Times New Roman"/>
          <w:sz w:val="24"/>
          <w:szCs w:val="24"/>
        </w:rPr>
        <w:t xml:space="preserve"> produce an asset price bubble</w:t>
      </w:r>
      <w:r w:rsidR="00194AF9">
        <w:rPr>
          <w:rFonts w:ascii="Times New Roman" w:hAnsi="Times New Roman" w:cs="Times New Roman"/>
          <w:sz w:val="24"/>
          <w:szCs w:val="24"/>
        </w:rPr>
        <w:t xml:space="preserve"> or that</w:t>
      </w:r>
      <w:r w:rsidR="00785A96" w:rsidRPr="009F3FFE">
        <w:rPr>
          <w:rFonts w:ascii="Times New Roman" w:hAnsi="Times New Roman" w:cs="Times New Roman"/>
          <w:sz w:val="24"/>
          <w:szCs w:val="24"/>
        </w:rPr>
        <w:t xml:space="preserve"> </w:t>
      </w:r>
      <w:r w:rsidRPr="009F3FFE">
        <w:rPr>
          <w:rFonts w:ascii="Times New Roman" w:hAnsi="Times New Roman" w:cs="Times New Roman"/>
          <w:sz w:val="24"/>
          <w:szCs w:val="24"/>
        </w:rPr>
        <w:t>high</w:t>
      </w:r>
      <w:r w:rsidR="00785A96" w:rsidRPr="009F3FFE">
        <w:rPr>
          <w:rFonts w:ascii="Times New Roman" w:hAnsi="Times New Roman" w:cs="Times New Roman"/>
          <w:sz w:val="24"/>
          <w:szCs w:val="24"/>
        </w:rPr>
        <w:t>er</w:t>
      </w:r>
      <w:r w:rsidRPr="009F3FFE">
        <w:rPr>
          <w:rFonts w:ascii="Times New Roman" w:hAnsi="Times New Roman" w:cs="Times New Roman"/>
          <w:sz w:val="24"/>
          <w:szCs w:val="24"/>
        </w:rPr>
        <w:t xml:space="preserve"> rates </w:t>
      </w:r>
      <w:r w:rsidR="00785A96" w:rsidRPr="009F3FFE">
        <w:rPr>
          <w:rFonts w:ascii="Times New Roman" w:hAnsi="Times New Roman" w:cs="Times New Roman"/>
          <w:sz w:val="24"/>
          <w:szCs w:val="24"/>
        </w:rPr>
        <w:t xml:space="preserve">(above those mandated by the rule) </w:t>
      </w:r>
      <w:r w:rsidR="00194AF9">
        <w:rPr>
          <w:rFonts w:ascii="Times New Roman" w:hAnsi="Times New Roman" w:cs="Times New Roman"/>
          <w:sz w:val="24"/>
          <w:szCs w:val="24"/>
        </w:rPr>
        <w:t>are</w:t>
      </w:r>
      <w:r w:rsidR="00C125FD">
        <w:rPr>
          <w:rFonts w:ascii="Times New Roman" w:hAnsi="Times New Roman" w:cs="Times New Roman"/>
          <w:sz w:val="24"/>
          <w:szCs w:val="24"/>
        </w:rPr>
        <w:t xml:space="preserve"> </w:t>
      </w:r>
      <w:r w:rsidRPr="009F3FFE">
        <w:rPr>
          <w:rFonts w:ascii="Times New Roman" w:hAnsi="Times New Roman" w:cs="Times New Roman"/>
          <w:sz w:val="24"/>
          <w:szCs w:val="24"/>
        </w:rPr>
        <w:t>sufficient to prevent one</w:t>
      </w:r>
      <w:r w:rsidR="00D71D50" w:rsidRPr="009F3FFE">
        <w:rPr>
          <w:rFonts w:ascii="Times New Roman" w:hAnsi="Times New Roman" w:cs="Times New Roman"/>
          <w:sz w:val="24"/>
          <w:szCs w:val="24"/>
        </w:rPr>
        <w:t>.</w:t>
      </w:r>
      <w:r w:rsidR="00C125FD">
        <w:rPr>
          <w:rStyle w:val="FootnoteReference"/>
          <w:rFonts w:ascii="Times New Roman" w:hAnsi="Times New Roman" w:cs="Times New Roman"/>
          <w:sz w:val="24"/>
          <w:szCs w:val="24"/>
        </w:rPr>
        <w:footnoteReference w:id="8"/>
      </w:r>
      <w:r w:rsidR="001B5CE0" w:rsidRPr="009F3FFE">
        <w:rPr>
          <w:rFonts w:ascii="Times New Roman" w:hAnsi="Times New Roman" w:cs="Times New Roman"/>
          <w:sz w:val="24"/>
          <w:szCs w:val="24"/>
        </w:rPr>
        <w:t xml:space="preserve"> Britain, for example, experienced a </w:t>
      </w:r>
      <w:r w:rsidR="00BC6D8E">
        <w:rPr>
          <w:rFonts w:ascii="Times New Roman" w:hAnsi="Times New Roman" w:cs="Times New Roman"/>
          <w:sz w:val="24"/>
          <w:szCs w:val="24"/>
        </w:rPr>
        <w:t xml:space="preserve">more extreme </w:t>
      </w:r>
      <w:r w:rsidR="001B5CE0" w:rsidRPr="009F3FFE">
        <w:rPr>
          <w:rFonts w:ascii="Times New Roman" w:hAnsi="Times New Roman" w:cs="Times New Roman"/>
          <w:sz w:val="24"/>
          <w:szCs w:val="24"/>
        </w:rPr>
        <w:t xml:space="preserve">housing price boom in the 2000s </w:t>
      </w:r>
      <w:r w:rsidR="0033600C">
        <w:rPr>
          <w:rFonts w:ascii="Times New Roman" w:hAnsi="Times New Roman" w:cs="Times New Roman"/>
          <w:sz w:val="24"/>
          <w:szCs w:val="24"/>
        </w:rPr>
        <w:t xml:space="preserve">than </w:t>
      </w:r>
      <w:r w:rsidR="001B5CE0" w:rsidRPr="009F3FFE">
        <w:rPr>
          <w:rFonts w:ascii="Times New Roman" w:hAnsi="Times New Roman" w:cs="Times New Roman"/>
          <w:sz w:val="24"/>
          <w:szCs w:val="24"/>
        </w:rPr>
        <w:t>tha</w:t>
      </w:r>
      <w:r w:rsidR="00785A96" w:rsidRPr="009F3FFE">
        <w:rPr>
          <w:rFonts w:ascii="Times New Roman" w:hAnsi="Times New Roman" w:cs="Times New Roman"/>
          <w:sz w:val="24"/>
          <w:szCs w:val="24"/>
        </w:rPr>
        <w:t>t in the US, but one</w:t>
      </w:r>
      <w:r w:rsidRPr="009F3FFE">
        <w:rPr>
          <w:rFonts w:ascii="Times New Roman" w:hAnsi="Times New Roman" w:cs="Times New Roman"/>
          <w:sz w:val="24"/>
          <w:szCs w:val="24"/>
        </w:rPr>
        <w:t xml:space="preserve"> not </w:t>
      </w:r>
      <w:r w:rsidR="001B5CE0" w:rsidRPr="009F3FFE">
        <w:rPr>
          <w:rFonts w:ascii="Times New Roman" w:hAnsi="Times New Roman" w:cs="Times New Roman"/>
          <w:sz w:val="24"/>
          <w:szCs w:val="24"/>
        </w:rPr>
        <w:t xml:space="preserve">associated with </w:t>
      </w:r>
      <w:r w:rsidRPr="009F3FFE">
        <w:rPr>
          <w:rFonts w:ascii="Times New Roman" w:hAnsi="Times New Roman" w:cs="Times New Roman"/>
          <w:sz w:val="24"/>
          <w:szCs w:val="24"/>
        </w:rPr>
        <w:t>policy rates that were particularly low.</w:t>
      </w:r>
      <w:r w:rsidR="00BC6D8E">
        <w:rPr>
          <w:rStyle w:val="FootnoteReference"/>
          <w:rFonts w:ascii="Times New Roman" w:hAnsi="Times New Roman" w:cs="Times New Roman"/>
          <w:sz w:val="24"/>
          <w:szCs w:val="24"/>
        </w:rPr>
        <w:footnoteReference w:id="9"/>
      </w:r>
      <w:r w:rsidR="00EB6937" w:rsidRPr="009F3FFE">
        <w:rPr>
          <w:rFonts w:ascii="Times New Roman" w:hAnsi="Times New Roman" w:cs="Times New Roman"/>
          <w:sz w:val="24"/>
          <w:szCs w:val="24"/>
        </w:rPr>
        <w:t xml:space="preserve">  In the US, the federal funds rate dropped below </w:t>
      </w:r>
      <w:r w:rsidR="00C66233">
        <w:rPr>
          <w:rFonts w:ascii="Times New Roman" w:hAnsi="Times New Roman" w:cs="Times New Roman"/>
          <w:sz w:val="24"/>
          <w:szCs w:val="24"/>
        </w:rPr>
        <w:t xml:space="preserve">two </w:t>
      </w:r>
      <w:r w:rsidR="00EB6937" w:rsidRPr="009F3FFE">
        <w:rPr>
          <w:rFonts w:ascii="Times New Roman" w:hAnsi="Times New Roman" w:cs="Times New Roman"/>
          <w:sz w:val="24"/>
          <w:szCs w:val="24"/>
        </w:rPr>
        <w:t>percent on December 11</w:t>
      </w:r>
      <w:r w:rsidR="009F3FFE">
        <w:rPr>
          <w:rFonts w:ascii="Times New Roman" w:hAnsi="Times New Roman" w:cs="Times New Roman"/>
          <w:sz w:val="24"/>
          <w:szCs w:val="24"/>
        </w:rPr>
        <w:t>, 2001, and did not rise above</w:t>
      </w:r>
      <w:r w:rsidR="00EB6937" w:rsidRPr="009F3FFE">
        <w:rPr>
          <w:rFonts w:ascii="Times New Roman" w:hAnsi="Times New Roman" w:cs="Times New Roman"/>
          <w:sz w:val="24"/>
          <w:szCs w:val="24"/>
        </w:rPr>
        <w:t xml:space="preserve"> that level </w:t>
      </w:r>
      <w:r w:rsidR="00A35A63">
        <w:rPr>
          <w:rFonts w:ascii="Times New Roman" w:hAnsi="Times New Roman" w:cs="Times New Roman"/>
          <w:sz w:val="24"/>
          <w:szCs w:val="24"/>
        </w:rPr>
        <w:t xml:space="preserve">again </w:t>
      </w:r>
      <w:r w:rsidR="00EB6937" w:rsidRPr="009F3FFE">
        <w:rPr>
          <w:rFonts w:ascii="Times New Roman" w:hAnsi="Times New Roman" w:cs="Times New Roman"/>
          <w:sz w:val="24"/>
          <w:szCs w:val="24"/>
        </w:rPr>
        <w:t xml:space="preserve">until November 10, 2004.  This is the period to which Taylor calls our attention in seeking the origin of the housing bubble.  During this same period, in contrast, the British policy rate </w:t>
      </w:r>
      <w:r w:rsidR="00785A96" w:rsidRPr="009F3FFE">
        <w:rPr>
          <w:rFonts w:ascii="Times New Roman" w:hAnsi="Times New Roman" w:cs="Times New Roman"/>
          <w:sz w:val="24"/>
          <w:szCs w:val="24"/>
        </w:rPr>
        <w:t xml:space="preserve">(bank rate) </w:t>
      </w:r>
      <w:r w:rsidR="00EB6937" w:rsidRPr="009F3FFE">
        <w:rPr>
          <w:rFonts w:ascii="Times New Roman" w:hAnsi="Times New Roman" w:cs="Times New Roman"/>
          <w:sz w:val="24"/>
          <w:szCs w:val="24"/>
        </w:rPr>
        <w:t xml:space="preserve">ranged between 3.5 and 4.75, </w:t>
      </w:r>
      <w:r w:rsidR="00785A96" w:rsidRPr="009F3FFE">
        <w:rPr>
          <w:rFonts w:ascii="Times New Roman" w:hAnsi="Times New Roman" w:cs="Times New Roman"/>
          <w:sz w:val="24"/>
          <w:szCs w:val="24"/>
        </w:rPr>
        <w:t>roughly double the range in the US over the same period</w:t>
      </w:r>
      <w:r w:rsidR="00EB6937" w:rsidRPr="009F3FFE">
        <w:rPr>
          <w:rFonts w:ascii="Times New Roman" w:hAnsi="Times New Roman" w:cs="Times New Roman"/>
          <w:sz w:val="24"/>
          <w:szCs w:val="24"/>
        </w:rPr>
        <w:t xml:space="preserve"> (</w:t>
      </w:r>
      <w:hyperlink r:id="rId9" w:history="1">
        <w:r w:rsidR="00EB6937" w:rsidRPr="009F3FFE">
          <w:rPr>
            <w:rStyle w:val="Hyperlink"/>
            <w:rFonts w:ascii="Times New Roman" w:hAnsi="Times New Roman" w:cs="Times New Roman"/>
            <w:sz w:val="24"/>
            <w:szCs w:val="24"/>
          </w:rPr>
          <w:t>http://www.newyorkfed.org/markets/statistics/dlyrates/fedrate.html</w:t>
        </w:r>
      </w:hyperlink>
      <w:r w:rsidR="00EB6937" w:rsidRPr="009F3FFE">
        <w:rPr>
          <w:rFonts w:ascii="Times New Roman" w:hAnsi="Times New Roman" w:cs="Times New Roman"/>
          <w:sz w:val="24"/>
          <w:szCs w:val="24"/>
        </w:rPr>
        <w:t xml:space="preserve">; </w:t>
      </w:r>
      <w:hyperlink r:id="rId10" w:history="1">
        <w:r w:rsidR="00EB6937" w:rsidRPr="009F3FFE">
          <w:rPr>
            <w:rStyle w:val="Hyperlink"/>
            <w:rFonts w:ascii="Times New Roman" w:hAnsi="Times New Roman" w:cs="Times New Roman"/>
            <w:sz w:val="24"/>
            <w:szCs w:val="24"/>
          </w:rPr>
          <w:t>http://www.bankofengland.co.uk/monetarypolicy/Pages/decisions.aspx</w:t>
        </w:r>
      </w:hyperlink>
      <w:r w:rsidR="00EB6937" w:rsidRPr="009F3FFE">
        <w:rPr>
          <w:rFonts w:ascii="Times New Roman" w:hAnsi="Times New Roman" w:cs="Times New Roman"/>
          <w:sz w:val="24"/>
          <w:szCs w:val="24"/>
        </w:rPr>
        <w:t xml:space="preserve">, accessed June 14, 2015).  </w:t>
      </w:r>
      <w:r w:rsidR="0065490B">
        <w:rPr>
          <w:rFonts w:ascii="Times New Roman" w:hAnsi="Times New Roman" w:cs="Times New Roman"/>
          <w:sz w:val="24"/>
          <w:szCs w:val="24"/>
        </w:rPr>
        <w:t>A</w:t>
      </w:r>
      <w:r w:rsidR="00EB6937" w:rsidRPr="009F3FFE">
        <w:rPr>
          <w:rFonts w:ascii="Times New Roman" w:hAnsi="Times New Roman" w:cs="Times New Roman"/>
          <w:sz w:val="24"/>
          <w:szCs w:val="24"/>
        </w:rPr>
        <w:t>s is now recognized, a severe housing</w:t>
      </w:r>
      <w:r w:rsidR="009F3FFE">
        <w:rPr>
          <w:rFonts w:ascii="Times New Roman" w:hAnsi="Times New Roman" w:cs="Times New Roman"/>
          <w:sz w:val="24"/>
          <w:szCs w:val="24"/>
        </w:rPr>
        <w:t xml:space="preserve"> price bubble developed in Britain as well as </w:t>
      </w:r>
      <w:r w:rsidR="00307762">
        <w:rPr>
          <w:rFonts w:ascii="Times New Roman" w:hAnsi="Times New Roman" w:cs="Times New Roman"/>
          <w:sz w:val="24"/>
          <w:szCs w:val="24"/>
        </w:rPr>
        <w:t>in</w:t>
      </w:r>
      <w:r w:rsidR="009F3FFE">
        <w:rPr>
          <w:rFonts w:ascii="Times New Roman" w:hAnsi="Times New Roman" w:cs="Times New Roman"/>
          <w:sz w:val="24"/>
          <w:szCs w:val="24"/>
        </w:rPr>
        <w:t xml:space="preserve"> the United States</w:t>
      </w:r>
      <w:r w:rsidR="00EB6937" w:rsidRPr="009F3FFE">
        <w:rPr>
          <w:rFonts w:ascii="Times New Roman" w:hAnsi="Times New Roman" w:cs="Times New Roman"/>
          <w:sz w:val="24"/>
          <w:szCs w:val="24"/>
        </w:rPr>
        <w:t xml:space="preserve">, leading one to </w:t>
      </w:r>
      <w:r w:rsidR="00E131A1">
        <w:rPr>
          <w:rFonts w:ascii="Times New Roman" w:hAnsi="Times New Roman" w:cs="Times New Roman"/>
          <w:sz w:val="24"/>
          <w:szCs w:val="24"/>
        </w:rPr>
        <w:t>ask</w:t>
      </w:r>
      <w:r w:rsidR="00EB6937" w:rsidRPr="009F3FFE">
        <w:rPr>
          <w:rFonts w:ascii="Times New Roman" w:hAnsi="Times New Roman" w:cs="Times New Roman"/>
          <w:sz w:val="24"/>
          <w:szCs w:val="24"/>
        </w:rPr>
        <w:t xml:space="preserve"> whethe</w:t>
      </w:r>
      <w:r w:rsidR="00307762">
        <w:rPr>
          <w:rFonts w:ascii="Times New Roman" w:hAnsi="Times New Roman" w:cs="Times New Roman"/>
          <w:sz w:val="24"/>
          <w:szCs w:val="24"/>
        </w:rPr>
        <w:t>r too low</w:t>
      </w:r>
      <w:r w:rsidR="00785A96" w:rsidRPr="009F3FFE">
        <w:rPr>
          <w:rFonts w:ascii="Times New Roman" w:hAnsi="Times New Roman" w:cs="Times New Roman"/>
          <w:sz w:val="24"/>
          <w:szCs w:val="24"/>
        </w:rPr>
        <w:t xml:space="preserve"> rates should </w:t>
      </w:r>
      <w:r w:rsidR="005B5865">
        <w:rPr>
          <w:rFonts w:ascii="Times New Roman" w:hAnsi="Times New Roman" w:cs="Times New Roman"/>
          <w:sz w:val="24"/>
          <w:szCs w:val="24"/>
        </w:rPr>
        <w:t xml:space="preserve">necessarily </w:t>
      </w:r>
      <w:r w:rsidR="00EB6937" w:rsidRPr="009F3FFE">
        <w:rPr>
          <w:rFonts w:ascii="Times New Roman" w:hAnsi="Times New Roman" w:cs="Times New Roman"/>
          <w:sz w:val="24"/>
          <w:szCs w:val="24"/>
        </w:rPr>
        <w:t xml:space="preserve">be identified as the cause of the </w:t>
      </w:r>
      <w:r w:rsidR="00785A96" w:rsidRPr="009F3FFE">
        <w:rPr>
          <w:rFonts w:ascii="Times New Roman" w:hAnsi="Times New Roman" w:cs="Times New Roman"/>
          <w:sz w:val="24"/>
          <w:szCs w:val="24"/>
        </w:rPr>
        <w:t>housing price inflation in the United States</w:t>
      </w:r>
      <w:r w:rsidR="00D71D50" w:rsidRPr="009F3FFE">
        <w:rPr>
          <w:rFonts w:ascii="Times New Roman" w:hAnsi="Times New Roman" w:cs="Times New Roman"/>
          <w:sz w:val="24"/>
          <w:szCs w:val="24"/>
        </w:rPr>
        <w:t xml:space="preserve">.  </w:t>
      </w:r>
      <w:r w:rsidR="0007276B">
        <w:rPr>
          <w:rFonts w:ascii="Times New Roman" w:hAnsi="Times New Roman" w:cs="Times New Roman"/>
          <w:color w:val="000000"/>
          <w:shd w:val="clear" w:color="auto" w:fill="FFFFFF"/>
        </w:rPr>
        <w:t>New Zealand</w:t>
      </w:r>
      <w:r w:rsidR="00F9781C">
        <w:rPr>
          <w:rFonts w:ascii="Times New Roman" w:hAnsi="Times New Roman" w:cs="Times New Roman"/>
          <w:color w:val="000000"/>
          <w:shd w:val="clear" w:color="auto" w:fill="FFFFFF"/>
        </w:rPr>
        <w:t xml:space="preserve">’s experience </w:t>
      </w:r>
      <w:r w:rsidR="00F9781C">
        <w:rPr>
          <w:rFonts w:ascii="Times New Roman" w:hAnsi="Times New Roman" w:cs="Times New Roman"/>
          <w:color w:val="000000"/>
          <w:sz w:val="24"/>
          <w:szCs w:val="24"/>
          <w:shd w:val="clear" w:color="auto" w:fill="FFFFFF"/>
        </w:rPr>
        <w:t>illustrates the same point</w:t>
      </w:r>
      <w:r w:rsidR="0007276B" w:rsidRPr="00F9781C">
        <w:rPr>
          <w:rFonts w:ascii="Times New Roman" w:hAnsi="Times New Roman" w:cs="Times New Roman"/>
          <w:color w:val="000000"/>
          <w:sz w:val="24"/>
          <w:szCs w:val="24"/>
          <w:shd w:val="clear" w:color="auto" w:fill="FFFFFF"/>
        </w:rPr>
        <w:t xml:space="preserve">. The official cash rate ranged from 4.75 to 6.5 percent between 2001 and 2004, but house price appreciation was higher than in Britain.  </w:t>
      </w:r>
      <w:r w:rsidR="0007276B" w:rsidRPr="00CA613A">
        <w:rPr>
          <w:rFonts w:ascii="Times New Roman" w:hAnsi="Times New Roman" w:cs="Times New Roman"/>
          <w:color w:val="000000"/>
          <w:sz w:val="24"/>
          <w:szCs w:val="24"/>
          <w:shd w:val="clear" w:color="auto" w:fill="FFFFFF"/>
        </w:rPr>
        <w:t>Even taking into account s</w:t>
      </w:r>
      <w:r w:rsidR="00C66233" w:rsidRPr="00CA613A">
        <w:rPr>
          <w:rFonts w:ascii="Times New Roman" w:hAnsi="Times New Roman" w:cs="Times New Roman"/>
          <w:color w:val="000000"/>
          <w:sz w:val="24"/>
          <w:szCs w:val="24"/>
          <w:shd w:val="clear" w:color="auto" w:fill="FFFFFF"/>
        </w:rPr>
        <w:t>lightly higher inflation in New Zealand</w:t>
      </w:r>
      <w:r w:rsidR="0007276B" w:rsidRPr="00CA613A">
        <w:rPr>
          <w:rFonts w:ascii="Times New Roman" w:hAnsi="Times New Roman" w:cs="Times New Roman"/>
          <w:color w:val="000000"/>
          <w:sz w:val="24"/>
          <w:szCs w:val="24"/>
          <w:shd w:val="clear" w:color="auto" w:fill="FFFFFF"/>
        </w:rPr>
        <w:t>, these were high real</w:t>
      </w:r>
      <w:r w:rsidR="0035055E" w:rsidRPr="00CA613A">
        <w:rPr>
          <w:rFonts w:ascii="Times New Roman" w:hAnsi="Times New Roman" w:cs="Times New Roman"/>
          <w:color w:val="000000"/>
          <w:sz w:val="24"/>
          <w:szCs w:val="24"/>
          <w:shd w:val="clear" w:color="auto" w:fill="FFFFFF"/>
        </w:rPr>
        <w:t xml:space="preserve"> interest</w:t>
      </w:r>
      <w:r w:rsidR="0007276B" w:rsidRPr="00CA613A">
        <w:rPr>
          <w:rFonts w:ascii="Times New Roman" w:hAnsi="Times New Roman" w:cs="Times New Roman"/>
          <w:color w:val="000000"/>
          <w:sz w:val="24"/>
          <w:szCs w:val="24"/>
          <w:shd w:val="clear" w:color="auto" w:fill="FFFFFF"/>
        </w:rPr>
        <w:t xml:space="preserve"> rates. See </w:t>
      </w:r>
      <w:hyperlink r:id="rId11" w:history="1">
        <w:r w:rsidR="0007276B" w:rsidRPr="00CA613A">
          <w:rPr>
            <w:rStyle w:val="Hyperlink"/>
            <w:rFonts w:ascii="Times New Roman" w:hAnsi="Times New Roman" w:cs="Times New Roman"/>
            <w:sz w:val="24"/>
            <w:szCs w:val="24"/>
            <w:shd w:val="clear" w:color="auto" w:fill="FFFFFF"/>
          </w:rPr>
          <w:t>http://www.rbnz.govt.nz/monetary_policy/ocr/</w:t>
        </w:r>
      </w:hyperlink>
      <w:r w:rsidR="0007276B" w:rsidRPr="00CA613A">
        <w:rPr>
          <w:rFonts w:ascii="Times New Roman" w:hAnsi="Times New Roman" w:cs="Times New Roman"/>
          <w:color w:val="000000"/>
          <w:sz w:val="24"/>
          <w:szCs w:val="24"/>
          <w:shd w:val="clear" w:color="auto" w:fill="FFFFFF"/>
        </w:rPr>
        <w:t>, accessed October 30, 2015.</w:t>
      </w:r>
    </w:p>
    <w:p w14:paraId="4C540211" w14:textId="592DF50D" w:rsidR="00253EF0" w:rsidRPr="009F3FFE" w:rsidRDefault="009F3FFE" w:rsidP="009F3FFE">
      <w:pPr>
        <w:spacing w:before="240"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Taylor now </w:t>
      </w:r>
      <w:r w:rsidR="001B5CE0" w:rsidRPr="009F3FFE">
        <w:rPr>
          <w:rFonts w:ascii="Times New Roman" w:hAnsi="Times New Roman" w:cs="Times New Roman"/>
          <w:sz w:val="24"/>
          <w:szCs w:val="24"/>
        </w:rPr>
        <w:t>argues that rates below those prescribed by his rule</w:t>
      </w:r>
      <w:r w:rsidR="008B5FA8" w:rsidRPr="009F3FFE">
        <w:rPr>
          <w:rFonts w:ascii="Times New Roman" w:hAnsi="Times New Roman" w:cs="Times New Roman"/>
          <w:sz w:val="24"/>
          <w:szCs w:val="24"/>
        </w:rPr>
        <w:t xml:space="preserve"> can</w:t>
      </w:r>
      <w:r w:rsidR="001B5CE0" w:rsidRPr="009F3FFE">
        <w:rPr>
          <w:rFonts w:ascii="Times New Roman" w:hAnsi="Times New Roman" w:cs="Times New Roman"/>
          <w:sz w:val="24"/>
          <w:szCs w:val="24"/>
        </w:rPr>
        <w:t xml:space="preserve"> fuel asset bubbles.  The British </w:t>
      </w:r>
      <w:r w:rsidR="0033600C">
        <w:rPr>
          <w:rFonts w:ascii="Times New Roman" w:hAnsi="Times New Roman" w:cs="Times New Roman"/>
          <w:sz w:val="24"/>
          <w:szCs w:val="24"/>
        </w:rPr>
        <w:t xml:space="preserve">and New Zealand </w:t>
      </w:r>
      <w:r w:rsidR="001B5CE0" w:rsidRPr="009F3FFE">
        <w:rPr>
          <w:rFonts w:ascii="Times New Roman" w:hAnsi="Times New Roman" w:cs="Times New Roman"/>
          <w:sz w:val="24"/>
          <w:szCs w:val="24"/>
        </w:rPr>
        <w:t>case</w:t>
      </w:r>
      <w:r w:rsidR="0033600C">
        <w:rPr>
          <w:rFonts w:ascii="Times New Roman" w:hAnsi="Times New Roman" w:cs="Times New Roman"/>
          <w:sz w:val="24"/>
          <w:szCs w:val="24"/>
        </w:rPr>
        <w:t>s</w:t>
      </w:r>
      <w:r w:rsidR="001B5CE0" w:rsidRPr="009F3FFE">
        <w:rPr>
          <w:rFonts w:ascii="Times New Roman" w:hAnsi="Times New Roman" w:cs="Times New Roman"/>
          <w:sz w:val="24"/>
          <w:szCs w:val="24"/>
        </w:rPr>
        <w:t xml:space="preserve"> present a problem for his analysis, sinc</w:t>
      </w:r>
      <w:r w:rsidR="00E41E78">
        <w:rPr>
          <w:rFonts w:ascii="Times New Roman" w:hAnsi="Times New Roman" w:cs="Times New Roman"/>
          <w:sz w:val="24"/>
          <w:szCs w:val="24"/>
        </w:rPr>
        <w:t>e we have the asset boom in the absence of</w:t>
      </w:r>
      <w:r w:rsidR="001B5CE0" w:rsidRPr="009F3FFE">
        <w:rPr>
          <w:rFonts w:ascii="Times New Roman" w:hAnsi="Times New Roman" w:cs="Times New Roman"/>
          <w:sz w:val="24"/>
          <w:szCs w:val="24"/>
        </w:rPr>
        <w:t xml:space="preserve"> </w:t>
      </w:r>
      <w:r w:rsidR="00253EF0" w:rsidRPr="009F3FFE">
        <w:rPr>
          <w:rFonts w:ascii="Times New Roman" w:hAnsi="Times New Roman" w:cs="Times New Roman"/>
          <w:sz w:val="24"/>
          <w:szCs w:val="24"/>
        </w:rPr>
        <w:t>exceptionally low bank rates</w:t>
      </w:r>
      <w:r w:rsidR="001B5CE0" w:rsidRPr="009F3FFE">
        <w:rPr>
          <w:rFonts w:ascii="Times New Roman" w:hAnsi="Times New Roman" w:cs="Times New Roman"/>
          <w:sz w:val="24"/>
          <w:szCs w:val="24"/>
        </w:rPr>
        <w:t>.  If we find for th</w:t>
      </w:r>
      <w:r w:rsidR="00253EF0" w:rsidRPr="009F3FFE">
        <w:rPr>
          <w:rFonts w:ascii="Times New Roman" w:hAnsi="Times New Roman" w:cs="Times New Roman"/>
          <w:sz w:val="24"/>
          <w:szCs w:val="24"/>
        </w:rPr>
        <w:t>e</w:t>
      </w:r>
      <w:r w:rsidR="001B5CE0" w:rsidRPr="009F3FFE">
        <w:rPr>
          <w:rFonts w:ascii="Times New Roman" w:hAnsi="Times New Roman" w:cs="Times New Roman"/>
          <w:sz w:val="24"/>
          <w:szCs w:val="24"/>
        </w:rPr>
        <w:t xml:space="preserve"> 1920s that interest rate policy </w:t>
      </w:r>
      <w:r w:rsidR="00253EF0" w:rsidRPr="009F3FFE">
        <w:rPr>
          <w:rFonts w:ascii="Times New Roman" w:hAnsi="Times New Roman" w:cs="Times New Roman"/>
          <w:sz w:val="24"/>
          <w:szCs w:val="24"/>
        </w:rPr>
        <w:t xml:space="preserve">was generally above that which would have been prescribed by </w:t>
      </w:r>
      <w:r w:rsidR="001B5CE0" w:rsidRPr="009F3FFE">
        <w:rPr>
          <w:rFonts w:ascii="Times New Roman" w:hAnsi="Times New Roman" w:cs="Times New Roman"/>
          <w:sz w:val="24"/>
          <w:szCs w:val="24"/>
        </w:rPr>
        <w:t>a Taylo</w:t>
      </w:r>
      <w:r w:rsidR="008B5FA8" w:rsidRPr="009F3FFE">
        <w:rPr>
          <w:rFonts w:ascii="Times New Roman" w:hAnsi="Times New Roman" w:cs="Times New Roman"/>
          <w:sz w:val="24"/>
          <w:szCs w:val="24"/>
        </w:rPr>
        <w:t xml:space="preserve">r rule, </w:t>
      </w:r>
      <w:r w:rsidR="001B5CE0" w:rsidRPr="009F3FFE">
        <w:rPr>
          <w:rFonts w:ascii="Times New Roman" w:hAnsi="Times New Roman" w:cs="Times New Roman"/>
          <w:sz w:val="24"/>
          <w:szCs w:val="24"/>
        </w:rPr>
        <w:t xml:space="preserve">we will have another instance of </w:t>
      </w:r>
      <w:r w:rsidR="00785A96" w:rsidRPr="009F3FFE">
        <w:rPr>
          <w:rFonts w:ascii="Times New Roman" w:hAnsi="Times New Roman" w:cs="Times New Roman"/>
          <w:sz w:val="24"/>
          <w:szCs w:val="24"/>
        </w:rPr>
        <w:t xml:space="preserve">an </w:t>
      </w:r>
      <w:r w:rsidR="001B5CE0" w:rsidRPr="009F3FFE">
        <w:rPr>
          <w:rFonts w:ascii="Times New Roman" w:hAnsi="Times New Roman" w:cs="Times New Roman"/>
          <w:sz w:val="24"/>
          <w:szCs w:val="24"/>
        </w:rPr>
        <w:t>asset bubb</w:t>
      </w:r>
      <w:r w:rsidR="00785A96" w:rsidRPr="009F3FFE">
        <w:rPr>
          <w:rFonts w:ascii="Times New Roman" w:hAnsi="Times New Roman" w:cs="Times New Roman"/>
          <w:sz w:val="24"/>
          <w:szCs w:val="24"/>
        </w:rPr>
        <w:t>le</w:t>
      </w:r>
      <w:r w:rsidR="00253EF0" w:rsidRPr="009F3FFE">
        <w:rPr>
          <w:rFonts w:ascii="Times New Roman" w:hAnsi="Times New Roman" w:cs="Times New Roman"/>
          <w:sz w:val="24"/>
          <w:szCs w:val="24"/>
        </w:rPr>
        <w:t xml:space="preserve"> developing</w:t>
      </w:r>
      <w:r w:rsidR="008B5FA8" w:rsidRPr="009F3FFE">
        <w:rPr>
          <w:rFonts w:ascii="Times New Roman" w:hAnsi="Times New Roman" w:cs="Times New Roman"/>
          <w:sz w:val="24"/>
          <w:szCs w:val="24"/>
        </w:rPr>
        <w:t xml:space="preserve"> in the absence of rates </w:t>
      </w:r>
      <w:r w:rsidR="001B5CE0" w:rsidRPr="009F3FFE">
        <w:rPr>
          <w:rFonts w:ascii="Times New Roman" w:hAnsi="Times New Roman" w:cs="Times New Roman"/>
          <w:sz w:val="24"/>
          <w:szCs w:val="24"/>
        </w:rPr>
        <w:t xml:space="preserve">lower than </w:t>
      </w:r>
      <w:r w:rsidR="00253EF0" w:rsidRPr="009F3FFE">
        <w:rPr>
          <w:rFonts w:ascii="Times New Roman" w:hAnsi="Times New Roman" w:cs="Times New Roman"/>
          <w:sz w:val="24"/>
          <w:szCs w:val="24"/>
        </w:rPr>
        <w:t>mandated by the rule</w:t>
      </w:r>
      <w:r w:rsidR="001B5CE0" w:rsidRPr="009F3FFE">
        <w:rPr>
          <w:rFonts w:ascii="Times New Roman" w:hAnsi="Times New Roman" w:cs="Times New Roman"/>
          <w:sz w:val="24"/>
          <w:szCs w:val="24"/>
        </w:rPr>
        <w:t>.</w:t>
      </w:r>
      <w:r w:rsidR="00253EF0" w:rsidRPr="009F3FFE">
        <w:rPr>
          <w:rFonts w:ascii="Times New Roman" w:hAnsi="Times New Roman" w:cs="Times New Roman"/>
          <w:sz w:val="24"/>
          <w:szCs w:val="24"/>
        </w:rPr>
        <w:t xml:space="preserve"> </w:t>
      </w:r>
      <w:r w:rsidR="00476306">
        <w:rPr>
          <w:rFonts w:ascii="Times New Roman" w:hAnsi="Times New Roman" w:cs="Times New Roman"/>
          <w:sz w:val="24"/>
          <w:szCs w:val="24"/>
        </w:rPr>
        <w:t>Such instances should cause us to question the tightness of the linkage between “too low” rates and asset bubbles.</w:t>
      </w:r>
    </w:p>
    <w:p w14:paraId="7962F5FC" w14:textId="63C650FE" w:rsidR="002449FB" w:rsidRPr="009F3FFE" w:rsidRDefault="00307762" w:rsidP="009F3FFE">
      <w:pPr>
        <w:spacing w:line="480" w:lineRule="auto"/>
        <w:ind w:firstLine="576"/>
        <w:rPr>
          <w:rFonts w:ascii="Times New Roman" w:hAnsi="Times New Roman" w:cs="Times New Roman"/>
          <w:sz w:val="24"/>
          <w:szCs w:val="24"/>
        </w:rPr>
      </w:pPr>
      <w:r>
        <w:rPr>
          <w:rFonts w:ascii="Times New Roman" w:hAnsi="Times New Roman" w:cs="Times New Roman"/>
          <w:sz w:val="24"/>
          <w:szCs w:val="24"/>
        </w:rPr>
        <w:t>T</w:t>
      </w:r>
      <w:r w:rsidR="001B5CE0" w:rsidRPr="009F3FFE">
        <w:rPr>
          <w:rFonts w:ascii="Times New Roman" w:hAnsi="Times New Roman" w:cs="Times New Roman"/>
          <w:sz w:val="24"/>
          <w:szCs w:val="24"/>
        </w:rPr>
        <w:t xml:space="preserve">aylor has criticized the Fed not only for 2001-04, but also for the near zero policy interest rates from 2008 onward.  His position is that the low rates in 2001-04 gave us the housing bubble, financial crisis, and slow recovery from which we are still suffering, and that the </w:t>
      </w:r>
      <w:r w:rsidR="008B5FA8" w:rsidRPr="009F3FFE">
        <w:rPr>
          <w:rFonts w:ascii="Times New Roman" w:hAnsi="Times New Roman" w:cs="Times New Roman"/>
          <w:sz w:val="24"/>
          <w:szCs w:val="24"/>
        </w:rPr>
        <w:t xml:space="preserve">low rates after 2008 are </w:t>
      </w:r>
      <w:r w:rsidR="00253EF0" w:rsidRPr="009F3FFE">
        <w:rPr>
          <w:rFonts w:ascii="Times New Roman" w:hAnsi="Times New Roman" w:cs="Times New Roman"/>
          <w:sz w:val="24"/>
          <w:szCs w:val="24"/>
        </w:rPr>
        <w:t>fueling</w:t>
      </w:r>
      <w:r w:rsidR="008B5FA8" w:rsidRPr="009F3FFE">
        <w:rPr>
          <w:rFonts w:ascii="Times New Roman" w:hAnsi="Times New Roman" w:cs="Times New Roman"/>
          <w:sz w:val="24"/>
          <w:szCs w:val="24"/>
        </w:rPr>
        <w:t xml:space="preserve"> new</w:t>
      </w:r>
      <w:r w:rsidR="001B5CE0" w:rsidRPr="009F3FFE">
        <w:rPr>
          <w:rFonts w:ascii="Times New Roman" w:hAnsi="Times New Roman" w:cs="Times New Roman"/>
          <w:sz w:val="24"/>
          <w:szCs w:val="24"/>
        </w:rPr>
        <w:t xml:space="preserve"> asset price bubbles, the next financial c</w:t>
      </w:r>
      <w:r w:rsidR="008B5FA8" w:rsidRPr="009F3FFE">
        <w:rPr>
          <w:rFonts w:ascii="Times New Roman" w:hAnsi="Times New Roman" w:cs="Times New Roman"/>
          <w:sz w:val="24"/>
          <w:szCs w:val="24"/>
        </w:rPr>
        <w:t>risis, and the next recession</w:t>
      </w:r>
      <w:r w:rsidR="00253EF0" w:rsidRPr="009F3FFE">
        <w:rPr>
          <w:rFonts w:ascii="Times New Roman" w:hAnsi="Times New Roman" w:cs="Times New Roman"/>
          <w:sz w:val="24"/>
          <w:szCs w:val="24"/>
        </w:rPr>
        <w:t>.  These are</w:t>
      </w:r>
      <w:r w:rsidR="008B5FA8" w:rsidRPr="009F3FFE">
        <w:rPr>
          <w:rFonts w:ascii="Times New Roman" w:hAnsi="Times New Roman" w:cs="Times New Roman"/>
          <w:sz w:val="24"/>
          <w:szCs w:val="24"/>
        </w:rPr>
        <w:t xml:space="preserve"> </w:t>
      </w:r>
      <w:r w:rsidR="005B5865">
        <w:rPr>
          <w:rFonts w:ascii="Times New Roman" w:hAnsi="Times New Roman" w:cs="Times New Roman"/>
          <w:sz w:val="24"/>
          <w:szCs w:val="24"/>
        </w:rPr>
        <w:t xml:space="preserve">worrisome </w:t>
      </w:r>
      <w:r w:rsidR="001B5CE0" w:rsidRPr="009F3FFE">
        <w:rPr>
          <w:rFonts w:ascii="Times New Roman" w:hAnsi="Times New Roman" w:cs="Times New Roman"/>
          <w:sz w:val="24"/>
          <w:szCs w:val="24"/>
        </w:rPr>
        <w:t>possibilit</w:t>
      </w:r>
      <w:r w:rsidR="008B5FA8" w:rsidRPr="009F3FFE">
        <w:rPr>
          <w:rFonts w:ascii="Times New Roman" w:hAnsi="Times New Roman" w:cs="Times New Roman"/>
          <w:sz w:val="24"/>
          <w:szCs w:val="24"/>
        </w:rPr>
        <w:t>ies</w:t>
      </w:r>
      <w:r w:rsidR="009F3FFE">
        <w:rPr>
          <w:rFonts w:ascii="Times New Roman" w:hAnsi="Times New Roman" w:cs="Times New Roman"/>
          <w:sz w:val="24"/>
          <w:szCs w:val="24"/>
        </w:rPr>
        <w:t xml:space="preserve">.  </w:t>
      </w:r>
      <w:r w:rsidR="00253EF0" w:rsidRPr="009F3FFE">
        <w:rPr>
          <w:rFonts w:ascii="Times New Roman" w:hAnsi="Times New Roman" w:cs="Times New Roman"/>
          <w:sz w:val="24"/>
          <w:szCs w:val="24"/>
        </w:rPr>
        <w:t>Taylor</w:t>
      </w:r>
      <w:r w:rsidR="001B5CE0" w:rsidRPr="009F3FFE">
        <w:rPr>
          <w:rFonts w:ascii="Times New Roman" w:hAnsi="Times New Roman" w:cs="Times New Roman"/>
          <w:sz w:val="24"/>
          <w:szCs w:val="24"/>
        </w:rPr>
        <w:t xml:space="preserve"> is not now arguing that the low rates have produced inflation and currency depreciation</w:t>
      </w:r>
      <w:r w:rsidR="0036431D">
        <w:rPr>
          <w:rFonts w:ascii="Times New Roman" w:hAnsi="Times New Roman" w:cs="Times New Roman"/>
          <w:sz w:val="24"/>
          <w:szCs w:val="24"/>
        </w:rPr>
        <w:t xml:space="preserve"> (</w:t>
      </w:r>
      <w:r w:rsidR="00476306">
        <w:rPr>
          <w:rFonts w:ascii="Times New Roman" w:hAnsi="Times New Roman" w:cs="Times New Roman"/>
          <w:sz w:val="24"/>
          <w:szCs w:val="24"/>
        </w:rPr>
        <w:t xml:space="preserve">the </w:t>
      </w:r>
      <w:r w:rsidR="00577517">
        <w:rPr>
          <w:rFonts w:ascii="Times New Roman" w:hAnsi="Times New Roman" w:cs="Times New Roman"/>
          <w:sz w:val="24"/>
          <w:szCs w:val="24"/>
        </w:rPr>
        <w:t>evidence to date</w:t>
      </w:r>
      <w:r w:rsidR="0015004E">
        <w:rPr>
          <w:rFonts w:ascii="Times New Roman" w:hAnsi="Times New Roman" w:cs="Times New Roman"/>
          <w:sz w:val="24"/>
          <w:szCs w:val="24"/>
        </w:rPr>
        <w:t xml:space="preserve"> does not show this</w:t>
      </w:r>
      <w:r w:rsidR="0036431D">
        <w:rPr>
          <w:rFonts w:ascii="Times New Roman" w:hAnsi="Times New Roman" w:cs="Times New Roman"/>
          <w:sz w:val="24"/>
          <w:szCs w:val="24"/>
        </w:rPr>
        <w:t>)</w:t>
      </w:r>
      <w:r w:rsidR="001B5CE0" w:rsidRPr="009F3FFE">
        <w:rPr>
          <w:rFonts w:ascii="Times New Roman" w:hAnsi="Times New Roman" w:cs="Times New Roman"/>
          <w:sz w:val="24"/>
          <w:szCs w:val="24"/>
        </w:rPr>
        <w:t xml:space="preserve">, although </w:t>
      </w:r>
      <w:r w:rsidR="00A35A63">
        <w:rPr>
          <w:rFonts w:ascii="Times New Roman" w:hAnsi="Times New Roman" w:cs="Times New Roman"/>
          <w:sz w:val="24"/>
          <w:szCs w:val="24"/>
        </w:rPr>
        <w:t>in 2010,</w:t>
      </w:r>
      <w:r w:rsidR="00253EF0" w:rsidRPr="009F3FFE">
        <w:rPr>
          <w:rFonts w:ascii="Times New Roman" w:hAnsi="Times New Roman" w:cs="Times New Roman"/>
          <w:sz w:val="24"/>
          <w:szCs w:val="24"/>
        </w:rPr>
        <w:t xml:space="preserve"> </w:t>
      </w:r>
      <w:r w:rsidR="009F3FFE">
        <w:rPr>
          <w:rFonts w:ascii="Times New Roman" w:hAnsi="Times New Roman" w:cs="Times New Roman"/>
          <w:sz w:val="24"/>
          <w:szCs w:val="24"/>
        </w:rPr>
        <w:t xml:space="preserve">in </w:t>
      </w:r>
      <w:r w:rsidR="002449FB" w:rsidRPr="009F3FFE">
        <w:rPr>
          <w:rFonts w:ascii="Times New Roman" w:hAnsi="Times New Roman" w:cs="Times New Roman"/>
          <w:sz w:val="24"/>
          <w:szCs w:val="24"/>
        </w:rPr>
        <w:t>an open letter to Fed chairman Ben Bernanke also signed by</w:t>
      </w:r>
      <w:r w:rsidR="00253EF0" w:rsidRPr="009F3FFE">
        <w:rPr>
          <w:rFonts w:ascii="Times New Roman" w:hAnsi="Times New Roman" w:cs="Times New Roman"/>
          <w:sz w:val="24"/>
          <w:szCs w:val="24"/>
        </w:rPr>
        <w:t xml:space="preserve"> other economists,</w:t>
      </w:r>
      <w:r w:rsidR="001B5CE0" w:rsidRPr="009F3FFE">
        <w:rPr>
          <w:rFonts w:ascii="Times New Roman" w:hAnsi="Times New Roman" w:cs="Times New Roman"/>
          <w:sz w:val="24"/>
          <w:szCs w:val="24"/>
        </w:rPr>
        <w:t xml:space="preserve"> </w:t>
      </w:r>
      <w:r w:rsidR="00A35A63">
        <w:rPr>
          <w:rFonts w:ascii="Times New Roman" w:hAnsi="Times New Roman" w:cs="Times New Roman"/>
          <w:sz w:val="24"/>
          <w:szCs w:val="24"/>
        </w:rPr>
        <w:t xml:space="preserve">he did </w:t>
      </w:r>
      <w:r w:rsidR="001B5CE0" w:rsidRPr="009F3FFE">
        <w:rPr>
          <w:rFonts w:ascii="Times New Roman" w:hAnsi="Times New Roman" w:cs="Times New Roman"/>
          <w:sz w:val="24"/>
          <w:szCs w:val="24"/>
        </w:rPr>
        <w:t>war</w:t>
      </w:r>
      <w:r w:rsidR="00EC0072" w:rsidRPr="009F3FFE">
        <w:rPr>
          <w:rFonts w:ascii="Times New Roman" w:hAnsi="Times New Roman" w:cs="Times New Roman"/>
          <w:sz w:val="24"/>
          <w:szCs w:val="24"/>
        </w:rPr>
        <w:t>n against the likelihood of those</w:t>
      </w:r>
      <w:r w:rsidR="001B5CE0" w:rsidRPr="009F3FFE">
        <w:rPr>
          <w:rFonts w:ascii="Times New Roman" w:hAnsi="Times New Roman" w:cs="Times New Roman"/>
          <w:sz w:val="24"/>
          <w:szCs w:val="24"/>
        </w:rPr>
        <w:t xml:space="preserve"> outcome</w:t>
      </w:r>
      <w:r w:rsidR="00EC0072" w:rsidRPr="009F3FFE">
        <w:rPr>
          <w:rFonts w:ascii="Times New Roman" w:hAnsi="Times New Roman" w:cs="Times New Roman"/>
          <w:sz w:val="24"/>
          <w:szCs w:val="24"/>
        </w:rPr>
        <w:t>s</w:t>
      </w:r>
      <w:r w:rsidR="002449FB" w:rsidRPr="009F3FFE">
        <w:rPr>
          <w:rFonts w:ascii="Times New Roman" w:hAnsi="Times New Roman" w:cs="Times New Roman"/>
          <w:sz w:val="24"/>
          <w:szCs w:val="24"/>
        </w:rPr>
        <w:t>.</w:t>
      </w:r>
    </w:p>
    <w:p w14:paraId="47D6DD14" w14:textId="3D5E4470" w:rsidR="003C61D3" w:rsidRPr="009F3FFE" w:rsidRDefault="00857B21" w:rsidP="009F3FFE">
      <w:pPr>
        <w:spacing w:line="480" w:lineRule="auto"/>
        <w:ind w:firstLine="576"/>
        <w:rPr>
          <w:rFonts w:ascii="Times New Roman" w:hAnsi="Times New Roman" w:cs="Times New Roman"/>
          <w:sz w:val="24"/>
          <w:szCs w:val="24"/>
        </w:rPr>
      </w:pPr>
      <w:r>
        <w:rPr>
          <w:rFonts w:ascii="Times New Roman" w:hAnsi="Times New Roman" w:cs="Times New Roman"/>
          <w:sz w:val="24"/>
          <w:szCs w:val="24"/>
        </w:rPr>
        <w:lastRenderedPageBreak/>
        <w:t>Eight</w:t>
      </w:r>
      <w:r w:rsidR="002449FB" w:rsidRPr="009F3FFE">
        <w:rPr>
          <w:rFonts w:ascii="Times New Roman" w:hAnsi="Times New Roman" w:cs="Times New Roman"/>
          <w:sz w:val="24"/>
          <w:szCs w:val="24"/>
        </w:rPr>
        <w:t xml:space="preserve"> years of near zero rates and a quintupling of the size of the Fed’s balance sheet </w:t>
      </w:r>
      <w:r w:rsidR="00E41E78">
        <w:rPr>
          <w:rFonts w:ascii="Times New Roman" w:hAnsi="Times New Roman" w:cs="Times New Roman"/>
          <w:sz w:val="24"/>
          <w:szCs w:val="24"/>
        </w:rPr>
        <w:t>(this is written in 201</w:t>
      </w:r>
      <w:r w:rsidR="0065490B">
        <w:rPr>
          <w:rFonts w:ascii="Times New Roman" w:hAnsi="Times New Roman" w:cs="Times New Roman"/>
          <w:sz w:val="24"/>
          <w:szCs w:val="24"/>
        </w:rPr>
        <w:t>6</w:t>
      </w:r>
      <w:r w:rsidR="00E41E78">
        <w:rPr>
          <w:rFonts w:ascii="Times New Roman" w:hAnsi="Times New Roman" w:cs="Times New Roman"/>
          <w:sz w:val="24"/>
          <w:szCs w:val="24"/>
        </w:rPr>
        <w:t xml:space="preserve">) </w:t>
      </w:r>
      <w:r w:rsidR="00476306">
        <w:rPr>
          <w:rFonts w:ascii="Times New Roman" w:hAnsi="Times New Roman" w:cs="Times New Roman"/>
          <w:sz w:val="24"/>
          <w:szCs w:val="24"/>
        </w:rPr>
        <w:t>did not</w:t>
      </w:r>
      <w:r w:rsidR="002449FB" w:rsidRPr="009F3FFE">
        <w:rPr>
          <w:rFonts w:ascii="Times New Roman" w:hAnsi="Times New Roman" w:cs="Times New Roman"/>
          <w:sz w:val="24"/>
          <w:szCs w:val="24"/>
        </w:rPr>
        <w:t xml:space="preserve"> produce infl</w:t>
      </w:r>
      <w:r w:rsidR="00E41E78">
        <w:rPr>
          <w:rFonts w:ascii="Times New Roman" w:hAnsi="Times New Roman" w:cs="Times New Roman"/>
          <w:sz w:val="24"/>
          <w:szCs w:val="24"/>
        </w:rPr>
        <w:t xml:space="preserve">ation or currency depreciation. Nevertheless, Taylor’s concerns </w:t>
      </w:r>
      <w:r w:rsidR="002449FB" w:rsidRPr="009F3FFE">
        <w:rPr>
          <w:rFonts w:ascii="Times New Roman" w:hAnsi="Times New Roman" w:cs="Times New Roman"/>
          <w:sz w:val="24"/>
          <w:szCs w:val="24"/>
        </w:rPr>
        <w:t xml:space="preserve">about fueling bubbles and </w:t>
      </w:r>
      <w:r w:rsidR="009F3FFE">
        <w:rPr>
          <w:rFonts w:ascii="Times New Roman" w:hAnsi="Times New Roman" w:cs="Times New Roman"/>
          <w:sz w:val="24"/>
          <w:szCs w:val="24"/>
        </w:rPr>
        <w:t>future crises</w:t>
      </w:r>
      <w:r w:rsidR="002449FB" w:rsidRPr="009F3FFE">
        <w:rPr>
          <w:rFonts w:ascii="Times New Roman" w:hAnsi="Times New Roman" w:cs="Times New Roman"/>
          <w:sz w:val="24"/>
          <w:szCs w:val="24"/>
        </w:rPr>
        <w:t xml:space="preserve"> deserve serious consideration.</w:t>
      </w:r>
      <w:r w:rsidR="003C61D3" w:rsidRPr="009F3FFE">
        <w:rPr>
          <w:rFonts w:ascii="Times New Roman" w:hAnsi="Times New Roman" w:cs="Times New Roman"/>
          <w:sz w:val="24"/>
          <w:szCs w:val="24"/>
        </w:rPr>
        <w:t xml:space="preserve">  </w:t>
      </w:r>
      <w:r w:rsidR="001A777F">
        <w:rPr>
          <w:rFonts w:ascii="Times New Roman" w:hAnsi="Times New Roman" w:cs="Times New Roman"/>
          <w:sz w:val="24"/>
          <w:szCs w:val="24"/>
        </w:rPr>
        <w:t>In July of 2011, Sheila Bair, then head of the FDIC, criticized Fed policy</w:t>
      </w:r>
      <w:r w:rsidR="00232ED2">
        <w:rPr>
          <w:rFonts w:ascii="Times New Roman" w:hAnsi="Times New Roman" w:cs="Times New Roman"/>
          <w:sz w:val="24"/>
          <w:szCs w:val="24"/>
        </w:rPr>
        <w:t xml:space="preserve"> on the grounds that it was producing a “bond bubble” (Bernanke, 2015, p. 515).  </w:t>
      </w:r>
      <w:r w:rsidR="003C61D3" w:rsidRPr="009F3FFE">
        <w:rPr>
          <w:rFonts w:ascii="Times New Roman" w:hAnsi="Times New Roman" w:cs="Times New Roman"/>
          <w:sz w:val="24"/>
          <w:szCs w:val="24"/>
        </w:rPr>
        <w:t xml:space="preserve">As a matter of financial economics, </w:t>
      </w:r>
      <w:r w:rsidR="009F3FFE">
        <w:rPr>
          <w:rFonts w:ascii="Times New Roman" w:hAnsi="Times New Roman" w:cs="Times New Roman"/>
          <w:sz w:val="24"/>
          <w:szCs w:val="24"/>
        </w:rPr>
        <w:t>a prolonged period of low short</w:t>
      </w:r>
      <w:r w:rsidR="003C61D3" w:rsidRPr="009F3FFE">
        <w:rPr>
          <w:rFonts w:ascii="Times New Roman" w:hAnsi="Times New Roman" w:cs="Times New Roman"/>
          <w:sz w:val="24"/>
          <w:szCs w:val="24"/>
        </w:rPr>
        <w:t xml:space="preserve"> rates </w:t>
      </w:r>
      <w:r w:rsidR="00767ABB">
        <w:rPr>
          <w:rFonts w:ascii="Times New Roman" w:hAnsi="Times New Roman" w:cs="Times New Roman"/>
          <w:sz w:val="24"/>
          <w:szCs w:val="24"/>
        </w:rPr>
        <w:t xml:space="preserve">associated with stable inflation (so that the move to lower nominal rates is also a move to lower real rates) </w:t>
      </w:r>
      <w:r w:rsidR="003C61D3" w:rsidRPr="009F3FFE">
        <w:rPr>
          <w:rFonts w:ascii="Times New Roman" w:hAnsi="Times New Roman" w:cs="Times New Roman"/>
          <w:sz w:val="24"/>
          <w:szCs w:val="24"/>
        </w:rPr>
        <w:t>is likely to strengthen the prices of financial assets such as bonds, by reducing the rate at which future revenue streams are discounted and, by stimulating the real economy, reducing default probabilities.</w:t>
      </w:r>
      <w:r w:rsidR="00307762">
        <w:rPr>
          <w:rFonts w:ascii="Times New Roman" w:hAnsi="Times New Roman" w:cs="Times New Roman"/>
          <w:sz w:val="24"/>
          <w:szCs w:val="24"/>
        </w:rPr>
        <w:t xml:space="preserve"> Thus</w:t>
      </w:r>
      <w:r w:rsidR="005B5865">
        <w:rPr>
          <w:rFonts w:ascii="Times New Roman" w:hAnsi="Times New Roman" w:cs="Times New Roman"/>
          <w:sz w:val="24"/>
          <w:szCs w:val="24"/>
        </w:rPr>
        <w:t xml:space="preserve"> we should</w:t>
      </w:r>
      <w:r w:rsidR="00A35A63">
        <w:rPr>
          <w:rFonts w:ascii="Times New Roman" w:hAnsi="Times New Roman" w:cs="Times New Roman"/>
          <w:sz w:val="24"/>
          <w:szCs w:val="24"/>
        </w:rPr>
        <w:t xml:space="preserve"> generally</w:t>
      </w:r>
      <w:r w:rsidR="005B5865">
        <w:rPr>
          <w:rFonts w:ascii="Times New Roman" w:hAnsi="Times New Roman" w:cs="Times New Roman"/>
          <w:sz w:val="24"/>
          <w:szCs w:val="24"/>
        </w:rPr>
        <w:t xml:space="preserve"> view the strengthening effect on bond prices of a prolonged period of low policy rates</w:t>
      </w:r>
      <w:r w:rsidR="00670C18">
        <w:rPr>
          <w:rFonts w:ascii="Times New Roman" w:hAnsi="Times New Roman" w:cs="Times New Roman"/>
          <w:sz w:val="24"/>
          <w:szCs w:val="24"/>
        </w:rPr>
        <w:t xml:space="preserve"> as intended, and not an undesired side effect of policy</w:t>
      </w:r>
      <w:r w:rsidR="00577517">
        <w:rPr>
          <w:rFonts w:ascii="Times New Roman" w:hAnsi="Times New Roman" w:cs="Times New Roman"/>
          <w:sz w:val="24"/>
          <w:szCs w:val="24"/>
        </w:rPr>
        <w:t>, particularly in the face of the large scale asset purchases known as quantitative easing</w:t>
      </w:r>
      <w:r w:rsidR="00670C18">
        <w:rPr>
          <w:rFonts w:ascii="Times New Roman" w:hAnsi="Times New Roman" w:cs="Times New Roman"/>
          <w:sz w:val="24"/>
          <w:szCs w:val="24"/>
        </w:rPr>
        <w:t>.</w:t>
      </w:r>
      <w:r w:rsidR="00307762">
        <w:rPr>
          <w:rFonts w:ascii="Times New Roman" w:hAnsi="Times New Roman" w:cs="Times New Roman"/>
          <w:sz w:val="24"/>
          <w:szCs w:val="24"/>
        </w:rPr>
        <w:t xml:space="preserve">  The effect of low r</w:t>
      </w:r>
      <w:r w:rsidR="00E131A1">
        <w:rPr>
          <w:rFonts w:ascii="Times New Roman" w:hAnsi="Times New Roman" w:cs="Times New Roman"/>
          <w:sz w:val="24"/>
          <w:szCs w:val="24"/>
        </w:rPr>
        <w:t>ates on stock prices is</w:t>
      </w:r>
      <w:r w:rsidR="002465E3">
        <w:rPr>
          <w:rFonts w:ascii="Times New Roman" w:hAnsi="Times New Roman" w:cs="Times New Roman"/>
          <w:sz w:val="24"/>
          <w:szCs w:val="24"/>
        </w:rPr>
        <w:t xml:space="preserve"> </w:t>
      </w:r>
      <w:r w:rsidR="00767ABB">
        <w:rPr>
          <w:rFonts w:ascii="Times New Roman" w:hAnsi="Times New Roman" w:cs="Times New Roman"/>
          <w:sz w:val="24"/>
          <w:szCs w:val="24"/>
        </w:rPr>
        <w:t>less predictable (see Shiller, 2007), although</w:t>
      </w:r>
      <w:r w:rsidR="003C61D3" w:rsidRPr="009F3FFE">
        <w:rPr>
          <w:rFonts w:ascii="Times New Roman" w:hAnsi="Times New Roman" w:cs="Times New Roman"/>
          <w:sz w:val="24"/>
          <w:szCs w:val="24"/>
        </w:rPr>
        <w:t xml:space="preserve"> a number of knowledgeable observers expressed concern</w:t>
      </w:r>
      <w:r w:rsidR="005B5865">
        <w:rPr>
          <w:rFonts w:ascii="Times New Roman" w:hAnsi="Times New Roman" w:cs="Times New Roman"/>
          <w:sz w:val="24"/>
          <w:szCs w:val="24"/>
        </w:rPr>
        <w:t xml:space="preserve"> about </w:t>
      </w:r>
      <w:r w:rsidR="006377AB">
        <w:rPr>
          <w:rFonts w:ascii="Times New Roman" w:hAnsi="Times New Roman" w:cs="Times New Roman"/>
          <w:sz w:val="24"/>
          <w:szCs w:val="24"/>
        </w:rPr>
        <w:t xml:space="preserve">an </w:t>
      </w:r>
      <w:r w:rsidR="00550606">
        <w:rPr>
          <w:rFonts w:ascii="Times New Roman" w:hAnsi="Times New Roman" w:cs="Times New Roman"/>
          <w:sz w:val="24"/>
          <w:szCs w:val="24"/>
        </w:rPr>
        <w:t xml:space="preserve">excessively </w:t>
      </w:r>
      <w:r w:rsidR="006377AB">
        <w:rPr>
          <w:rFonts w:ascii="Times New Roman" w:hAnsi="Times New Roman" w:cs="Times New Roman"/>
          <w:sz w:val="24"/>
          <w:szCs w:val="24"/>
        </w:rPr>
        <w:t>ebullient stock market</w:t>
      </w:r>
      <w:r w:rsidR="005B5865">
        <w:rPr>
          <w:rFonts w:ascii="Times New Roman" w:hAnsi="Times New Roman" w:cs="Times New Roman"/>
          <w:sz w:val="24"/>
          <w:szCs w:val="24"/>
        </w:rPr>
        <w:t xml:space="preserve"> under the low policy rate regime.</w:t>
      </w:r>
      <w:r w:rsidR="003C61D3" w:rsidRPr="009F3FFE">
        <w:rPr>
          <w:rFonts w:ascii="Times New Roman" w:hAnsi="Times New Roman" w:cs="Times New Roman"/>
          <w:sz w:val="24"/>
          <w:szCs w:val="24"/>
        </w:rPr>
        <w:t xml:space="preserve">  These include</w:t>
      </w:r>
      <w:r w:rsidR="00A35A63">
        <w:rPr>
          <w:rFonts w:ascii="Times New Roman" w:hAnsi="Times New Roman" w:cs="Times New Roman"/>
          <w:sz w:val="24"/>
          <w:szCs w:val="24"/>
        </w:rPr>
        <w:t>d</w:t>
      </w:r>
      <w:r w:rsidR="003C61D3" w:rsidRPr="009F3FFE">
        <w:rPr>
          <w:rFonts w:ascii="Times New Roman" w:hAnsi="Times New Roman" w:cs="Times New Roman"/>
          <w:sz w:val="24"/>
          <w:szCs w:val="24"/>
        </w:rPr>
        <w:t xml:space="preserve"> Fed chair Janet Yellen, who, on </w:t>
      </w:r>
      <w:r w:rsidR="00EC0072" w:rsidRPr="009F3FFE">
        <w:rPr>
          <w:rFonts w:ascii="Times New Roman" w:hAnsi="Times New Roman" w:cs="Times New Roman"/>
          <w:sz w:val="24"/>
          <w:szCs w:val="24"/>
        </w:rPr>
        <w:t>May</w:t>
      </w:r>
      <w:r w:rsidR="00C518A3" w:rsidRPr="009F3FFE">
        <w:rPr>
          <w:rFonts w:ascii="Times New Roman" w:hAnsi="Times New Roman" w:cs="Times New Roman"/>
          <w:sz w:val="24"/>
          <w:szCs w:val="24"/>
        </w:rPr>
        <w:t xml:space="preserve"> 6, </w:t>
      </w:r>
      <w:r w:rsidR="00EC0072" w:rsidRPr="009F3FFE">
        <w:rPr>
          <w:rFonts w:ascii="Times New Roman" w:hAnsi="Times New Roman" w:cs="Times New Roman"/>
          <w:sz w:val="24"/>
          <w:szCs w:val="24"/>
        </w:rPr>
        <w:t>20</w:t>
      </w:r>
      <w:r w:rsidR="003C61D3" w:rsidRPr="009F3FFE">
        <w:rPr>
          <w:rFonts w:ascii="Times New Roman" w:hAnsi="Times New Roman" w:cs="Times New Roman"/>
          <w:sz w:val="24"/>
          <w:szCs w:val="24"/>
        </w:rPr>
        <w:t>15,</w:t>
      </w:r>
      <w:r w:rsidR="00253EF0" w:rsidRPr="009F3FFE">
        <w:rPr>
          <w:rFonts w:ascii="Times New Roman" w:hAnsi="Times New Roman" w:cs="Times New Roman"/>
          <w:sz w:val="24"/>
          <w:szCs w:val="24"/>
        </w:rPr>
        <w:t xml:space="preserve"> warned that</w:t>
      </w:r>
      <w:r w:rsidR="00EC0072" w:rsidRPr="009F3FFE">
        <w:rPr>
          <w:rFonts w:ascii="Times New Roman" w:hAnsi="Times New Roman" w:cs="Times New Roman"/>
          <w:sz w:val="24"/>
          <w:szCs w:val="24"/>
        </w:rPr>
        <w:t xml:space="preserve"> s</w:t>
      </w:r>
      <w:r w:rsidR="00253EF0" w:rsidRPr="009F3FFE">
        <w:rPr>
          <w:rFonts w:ascii="Times New Roman" w:hAnsi="Times New Roman" w:cs="Times New Roman"/>
          <w:sz w:val="24"/>
          <w:szCs w:val="24"/>
        </w:rPr>
        <w:t>tock prices might</w:t>
      </w:r>
      <w:r w:rsidR="001B5CE0" w:rsidRPr="009F3FFE">
        <w:rPr>
          <w:rFonts w:ascii="Times New Roman" w:hAnsi="Times New Roman" w:cs="Times New Roman"/>
          <w:sz w:val="24"/>
          <w:szCs w:val="24"/>
        </w:rPr>
        <w:t xml:space="preserve"> </w:t>
      </w:r>
      <w:r w:rsidR="00EC0072" w:rsidRPr="009F3FFE">
        <w:rPr>
          <w:rFonts w:ascii="Times New Roman" w:hAnsi="Times New Roman" w:cs="Times New Roman"/>
          <w:sz w:val="24"/>
          <w:szCs w:val="24"/>
        </w:rPr>
        <w:t xml:space="preserve">again </w:t>
      </w:r>
      <w:r w:rsidR="001B5CE0" w:rsidRPr="009F3FFE">
        <w:rPr>
          <w:rFonts w:ascii="Times New Roman" w:hAnsi="Times New Roman" w:cs="Times New Roman"/>
          <w:sz w:val="24"/>
          <w:szCs w:val="24"/>
        </w:rPr>
        <w:t xml:space="preserve">be </w:t>
      </w:r>
      <w:r w:rsidR="00EC0072" w:rsidRPr="009F3FFE">
        <w:rPr>
          <w:rFonts w:ascii="Times New Roman" w:hAnsi="Times New Roman" w:cs="Times New Roman"/>
          <w:sz w:val="24"/>
          <w:szCs w:val="24"/>
        </w:rPr>
        <w:t>bubbly</w:t>
      </w:r>
      <w:r w:rsidR="00C518A3" w:rsidRPr="009F3FFE">
        <w:rPr>
          <w:rFonts w:ascii="Times New Roman" w:hAnsi="Times New Roman" w:cs="Times New Roman"/>
          <w:sz w:val="24"/>
          <w:szCs w:val="24"/>
        </w:rPr>
        <w:t xml:space="preserve"> (http://www.bloomberg.com/news/videos/2015-05-07/yellen-warns-stock-valuations-quite-high</w:t>
      </w:r>
      <w:r w:rsidR="005B5865">
        <w:rPr>
          <w:rFonts w:ascii="Times New Roman" w:hAnsi="Times New Roman" w:cs="Times New Roman"/>
          <w:sz w:val="24"/>
          <w:szCs w:val="24"/>
        </w:rPr>
        <w:t>-</w:t>
      </w:r>
      <w:r w:rsidR="00C518A3" w:rsidRPr="009F3FFE">
        <w:rPr>
          <w:rFonts w:ascii="Times New Roman" w:hAnsi="Times New Roman" w:cs="Times New Roman"/>
          <w:sz w:val="24"/>
          <w:szCs w:val="24"/>
        </w:rPr>
        <w:t>)</w:t>
      </w:r>
      <w:r w:rsidR="00EC0072" w:rsidRPr="009F3FFE">
        <w:rPr>
          <w:rFonts w:ascii="Times New Roman" w:hAnsi="Times New Roman" w:cs="Times New Roman"/>
          <w:sz w:val="24"/>
          <w:szCs w:val="24"/>
        </w:rPr>
        <w:t xml:space="preserve">. </w:t>
      </w:r>
    </w:p>
    <w:p w14:paraId="161E00BC" w14:textId="651EE288" w:rsidR="001B5CE0" w:rsidRPr="009F3FFE" w:rsidRDefault="003C61D3" w:rsidP="009F3FF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Nevertheless, before</w:t>
      </w:r>
      <w:r w:rsidR="009F3FFE">
        <w:rPr>
          <w:rFonts w:ascii="Times New Roman" w:hAnsi="Times New Roman" w:cs="Times New Roman"/>
          <w:sz w:val="24"/>
          <w:szCs w:val="24"/>
        </w:rPr>
        <w:t xml:space="preserve"> increasing </w:t>
      </w:r>
      <w:r w:rsidR="001B5CE0" w:rsidRPr="009F3FFE">
        <w:rPr>
          <w:rFonts w:ascii="Times New Roman" w:hAnsi="Times New Roman" w:cs="Times New Roman"/>
          <w:sz w:val="24"/>
          <w:szCs w:val="24"/>
        </w:rPr>
        <w:t xml:space="preserve">interest rates </w:t>
      </w:r>
      <w:r w:rsidR="00767ABB">
        <w:rPr>
          <w:rFonts w:ascii="Times New Roman" w:hAnsi="Times New Roman" w:cs="Times New Roman"/>
          <w:sz w:val="24"/>
          <w:szCs w:val="24"/>
        </w:rPr>
        <w:t xml:space="preserve">with the intent of </w:t>
      </w:r>
      <w:r w:rsidR="001B5CE0" w:rsidRPr="009F3FFE">
        <w:rPr>
          <w:rFonts w:ascii="Times New Roman" w:hAnsi="Times New Roman" w:cs="Times New Roman"/>
          <w:sz w:val="24"/>
          <w:szCs w:val="24"/>
        </w:rPr>
        <w:t>defl</w:t>
      </w:r>
      <w:r w:rsidR="00767ABB">
        <w:rPr>
          <w:rFonts w:ascii="Times New Roman" w:hAnsi="Times New Roman" w:cs="Times New Roman"/>
          <w:sz w:val="24"/>
          <w:szCs w:val="24"/>
        </w:rPr>
        <w:t>ating</w:t>
      </w:r>
      <w:r w:rsidR="009F3FFE">
        <w:rPr>
          <w:rFonts w:ascii="Times New Roman" w:hAnsi="Times New Roman" w:cs="Times New Roman"/>
          <w:sz w:val="24"/>
          <w:szCs w:val="24"/>
        </w:rPr>
        <w:t xml:space="preserve"> a bubble (a policy </w:t>
      </w:r>
      <w:r w:rsidR="001B5CE0" w:rsidRPr="009F3FFE">
        <w:rPr>
          <w:rFonts w:ascii="Times New Roman" w:hAnsi="Times New Roman" w:cs="Times New Roman"/>
          <w:sz w:val="24"/>
          <w:szCs w:val="24"/>
        </w:rPr>
        <w:t xml:space="preserve">pursued </w:t>
      </w:r>
      <w:r w:rsidR="00550606">
        <w:rPr>
          <w:rFonts w:ascii="Times New Roman" w:hAnsi="Times New Roman" w:cs="Times New Roman"/>
          <w:sz w:val="24"/>
          <w:szCs w:val="24"/>
        </w:rPr>
        <w:t>for precisely these reasons</w:t>
      </w:r>
      <w:r w:rsidR="00E41E78">
        <w:rPr>
          <w:rFonts w:ascii="Times New Roman" w:hAnsi="Times New Roman" w:cs="Times New Roman"/>
          <w:sz w:val="24"/>
          <w:szCs w:val="24"/>
        </w:rPr>
        <w:t xml:space="preserve"> in </w:t>
      </w:r>
      <w:r w:rsidR="001B5CE0" w:rsidRPr="009F3FFE">
        <w:rPr>
          <w:rFonts w:ascii="Times New Roman" w:hAnsi="Times New Roman" w:cs="Times New Roman"/>
          <w:sz w:val="24"/>
          <w:szCs w:val="24"/>
        </w:rPr>
        <w:t>1928 and 1929), we should consider historical and contemporary evidence</w:t>
      </w:r>
      <w:r w:rsidR="005E4DBA" w:rsidRPr="009F3FFE">
        <w:rPr>
          <w:rFonts w:ascii="Times New Roman" w:hAnsi="Times New Roman" w:cs="Times New Roman"/>
          <w:sz w:val="24"/>
          <w:szCs w:val="24"/>
        </w:rPr>
        <w:t xml:space="preserve"> relevant to these</w:t>
      </w:r>
      <w:r w:rsidR="009F3FFE">
        <w:rPr>
          <w:rFonts w:ascii="Times New Roman" w:hAnsi="Times New Roman" w:cs="Times New Roman"/>
          <w:sz w:val="24"/>
          <w:szCs w:val="24"/>
        </w:rPr>
        <w:t xml:space="preserve"> two </w:t>
      </w:r>
      <w:r w:rsidR="005E4DBA" w:rsidRPr="009F3FFE">
        <w:rPr>
          <w:rFonts w:ascii="Times New Roman" w:hAnsi="Times New Roman" w:cs="Times New Roman"/>
          <w:sz w:val="24"/>
          <w:szCs w:val="24"/>
        </w:rPr>
        <w:t>questions:</w:t>
      </w:r>
      <w:r w:rsidR="00B5560B" w:rsidRPr="009F3FFE">
        <w:rPr>
          <w:rFonts w:ascii="Times New Roman" w:hAnsi="Times New Roman" w:cs="Times New Roman"/>
          <w:sz w:val="24"/>
          <w:szCs w:val="24"/>
        </w:rPr>
        <w:t xml:space="preserve"> Are low rates </w:t>
      </w:r>
      <w:r w:rsidR="001B5CE0" w:rsidRPr="009F3FFE">
        <w:rPr>
          <w:rFonts w:ascii="Times New Roman" w:hAnsi="Times New Roman" w:cs="Times New Roman"/>
          <w:sz w:val="24"/>
          <w:szCs w:val="24"/>
        </w:rPr>
        <w:t>necessarily the fuel for bubbles</w:t>
      </w:r>
      <w:r w:rsidR="00E41E78">
        <w:rPr>
          <w:rFonts w:ascii="Times New Roman" w:hAnsi="Times New Roman" w:cs="Times New Roman"/>
          <w:sz w:val="24"/>
          <w:szCs w:val="24"/>
        </w:rPr>
        <w:t xml:space="preserve"> (what about Britain </w:t>
      </w:r>
      <w:r w:rsidR="0016228D">
        <w:rPr>
          <w:rFonts w:ascii="Times New Roman" w:hAnsi="Times New Roman" w:cs="Times New Roman"/>
          <w:sz w:val="24"/>
          <w:szCs w:val="24"/>
        </w:rPr>
        <w:t xml:space="preserve">or New Zealand </w:t>
      </w:r>
      <w:r w:rsidR="00E41E78">
        <w:rPr>
          <w:rFonts w:ascii="Times New Roman" w:hAnsi="Times New Roman" w:cs="Times New Roman"/>
          <w:sz w:val="24"/>
          <w:szCs w:val="24"/>
        </w:rPr>
        <w:t>in the 2000s)</w:t>
      </w:r>
      <w:r w:rsidR="00B5560B" w:rsidRPr="009F3FFE">
        <w:rPr>
          <w:rFonts w:ascii="Times New Roman" w:hAnsi="Times New Roman" w:cs="Times New Roman"/>
          <w:sz w:val="24"/>
          <w:szCs w:val="24"/>
        </w:rPr>
        <w:t xml:space="preserve">? </w:t>
      </w:r>
      <w:r w:rsidR="00307762">
        <w:rPr>
          <w:rFonts w:ascii="Times New Roman" w:hAnsi="Times New Roman" w:cs="Times New Roman"/>
          <w:sz w:val="24"/>
          <w:szCs w:val="24"/>
        </w:rPr>
        <w:t xml:space="preserve">And, are </w:t>
      </w:r>
      <w:r w:rsidR="00B5560B" w:rsidRPr="009F3FFE">
        <w:rPr>
          <w:rFonts w:ascii="Times New Roman" w:hAnsi="Times New Roman" w:cs="Times New Roman"/>
          <w:sz w:val="24"/>
          <w:szCs w:val="24"/>
        </w:rPr>
        <w:t>rates above those mandated by a Taylor rule</w:t>
      </w:r>
      <w:r w:rsidR="00C518A3" w:rsidRPr="009F3FFE">
        <w:rPr>
          <w:rFonts w:ascii="Times New Roman" w:hAnsi="Times New Roman" w:cs="Times New Roman"/>
          <w:sz w:val="24"/>
          <w:szCs w:val="24"/>
        </w:rPr>
        <w:t xml:space="preserve"> sufficient to prevent</w:t>
      </w:r>
      <w:r w:rsidR="005E4DBA" w:rsidRPr="009F3FFE">
        <w:rPr>
          <w:rFonts w:ascii="Times New Roman" w:hAnsi="Times New Roman" w:cs="Times New Roman"/>
          <w:sz w:val="24"/>
          <w:szCs w:val="24"/>
        </w:rPr>
        <w:t xml:space="preserve"> bubbles</w:t>
      </w:r>
      <w:r w:rsidR="00C518A3" w:rsidRPr="009F3FFE">
        <w:rPr>
          <w:rFonts w:ascii="Times New Roman" w:hAnsi="Times New Roman" w:cs="Times New Roman"/>
          <w:sz w:val="24"/>
          <w:szCs w:val="24"/>
        </w:rPr>
        <w:t xml:space="preserve"> and/or the</w:t>
      </w:r>
      <w:r w:rsidR="001B5CE0" w:rsidRPr="009F3FFE">
        <w:rPr>
          <w:rFonts w:ascii="Times New Roman" w:hAnsi="Times New Roman" w:cs="Times New Roman"/>
          <w:sz w:val="24"/>
          <w:szCs w:val="24"/>
        </w:rPr>
        <w:t xml:space="preserve"> best </w:t>
      </w:r>
      <w:r w:rsidR="00C518A3" w:rsidRPr="009F3FFE">
        <w:rPr>
          <w:rFonts w:ascii="Times New Roman" w:hAnsi="Times New Roman" w:cs="Times New Roman"/>
          <w:sz w:val="24"/>
          <w:szCs w:val="24"/>
        </w:rPr>
        <w:t xml:space="preserve">means of </w:t>
      </w:r>
      <w:r w:rsidR="001B5CE0" w:rsidRPr="009F3FFE">
        <w:rPr>
          <w:rFonts w:ascii="Times New Roman" w:hAnsi="Times New Roman" w:cs="Times New Roman"/>
          <w:sz w:val="24"/>
          <w:szCs w:val="24"/>
        </w:rPr>
        <w:t>combat</w:t>
      </w:r>
      <w:r w:rsidR="00C518A3" w:rsidRPr="009F3FFE">
        <w:rPr>
          <w:rFonts w:ascii="Times New Roman" w:hAnsi="Times New Roman" w:cs="Times New Roman"/>
          <w:sz w:val="24"/>
          <w:szCs w:val="24"/>
        </w:rPr>
        <w:t>ting</w:t>
      </w:r>
      <w:r w:rsidR="00B5560B" w:rsidRPr="009F3FFE">
        <w:rPr>
          <w:rFonts w:ascii="Times New Roman" w:hAnsi="Times New Roman" w:cs="Times New Roman"/>
          <w:sz w:val="24"/>
          <w:szCs w:val="24"/>
        </w:rPr>
        <w:t xml:space="preserve"> them?</w:t>
      </w:r>
      <w:r w:rsidR="001B5CE0" w:rsidRPr="009F3FFE">
        <w:rPr>
          <w:rFonts w:ascii="Times New Roman" w:hAnsi="Times New Roman" w:cs="Times New Roman"/>
          <w:sz w:val="24"/>
          <w:szCs w:val="24"/>
        </w:rPr>
        <w:t xml:space="preserve"> </w:t>
      </w:r>
    </w:p>
    <w:p w14:paraId="4AD5E810" w14:textId="5CC6C902" w:rsidR="009F3FFE" w:rsidRDefault="005E4DBA" w:rsidP="009F3FF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lastRenderedPageBreak/>
        <w:t xml:space="preserve">Although Taylor has not </w:t>
      </w:r>
      <w:r w:rsidR="00670C18">
        <w:rPr>
          <w:rFonts w:ascii="Times New Roman" w:hAnsi="Times New Roman" w:cs="Times New Roman"/>
          <w:sz w:val="24"/>
          <w:szCs w:val="24"/>
        </w:rPr>
        <w:t>indicated how a</w:t>
      </w:r>
      <w:r w:rsidR="00670C18" w:rsidRPr="009F3FFE">
        <w:rPr>
          <w:rFonts w:ascii="Times New Roman" w:hAnsi="Times New Roman" w:cs="Times New Roman"/>
          <w:sz w:val="24"/>
          <w:szCs w:val="24"/>
        </w:rPr>
        <w:t xml:space="preserve"> price bubble is to be</w:t>
      </w:r>
      <w:r w:rsidR="00670C18">
        <w:rPr>
          <w:rFonts w:ascii="Times New Roman" w:hAnsi="Times New Roman" w:cs="Times New Roman"/>
          <w:sz w:val="24"/>
          <w:szCs w:val="24"/>
        </w:rPr>
        <w:t xml:space="preserve"> recognized and</w:t>
      </w:r>
      <w:r w:rsidR="00670C18" w:rsidRPr="009F3FFE">
        <w:rPr>
          <w:rFonts w:ascii="Times New Roman" w:hAnsi="Times New Roman" w:cs="Times New Roman"/>
          <w:sz w:val="24"/>
          <w:szCs w:val="24"/>
        </w:rPr>
        <w:t xml:space="preserve"> measured</w:t>
      </w:r>
      <w:r w:rsidR="00670C18">
        <w:rPr>
          <w:rFonts w:ascii="Times New Roman" w:hAnsi="Times New Roman" w:cs="Times New Roman"/>
          <w:sz w:val="24"/>
          <w:szCs w:val="24"/>
        </w:rPr>
        <w:t xml:space="preserve">, </w:t>
      </w:r>
      <w:r w:rsidRPr="009F3FFE">
        <w:rPr>
          <w:rFonts w:ascii="Times New Roman" w:hAnsi="Times New Roman" w:cs="Times New Roman"/>
          <w:sz w:val="24"/>
          <w:szCs w:val="24"/>
        </w:rPr>
        <w:t>modified the formal specification of his rule</w:t>
      </w:r>
      <w:r w:rsidR="00307762">
        <w:rPr>
          <w:rFonts w:ascii="Times New Roman" w:hAnsi="Times New Roman" w:cs="Times New Roman"/>
          <w:sz w:val="24"/>
          <w:szCs w:val="24"/>
        </w:rPr>
        <w:t xml:space="preserve"> to incorporate a response to asset bubbles, </w:t>
      </w:r>
      <w:r w:rsidRPr="009F3FFE">
        <w:rPr>
          <w:rFonts w:ascii="Times New Roman" w:hAnsi="Times New Roman" w:cs="Times New Roman"/>
          <w:sz w:val="24"/>
          <w:szCs w:val="24"/>
        </w:rPr>
        <w:t xml:space="preserve">or specified what the interest rate response coefficient should be if the values of an asset class exceed </w:t>
      </w:r>
      <w:r w:rsidR="009F3FFE">
        <w:rPr>
          <w:rFonts w:ascii="Times New Roman" w:hAnsi="Times New Roman" w:cs="Times New Roman"/>
          <w:sz w:val="24"/>
          <w:szCs w:val="24"/>
        </w:rPr>
        <w:t>“fundamental</w:t>
      </w:r>
      <w:r w:rsidRPr="009F3FFE">
        <w:rPr>
          <w:rFonts w:ascii="Times New Roman" w:hAnsi="Times New Roman" w:cs="Times New Roman"/>
          <w:sz w:val="24"/>
          <w:szCs w:val="24"/>
        </w:rPr>
        <w:t xml:space="preserve"> value</w:t>
      </w:r>
      <w:r w:rsidR="00262E44" w:rsidRPr="009F3FFE">
        <w:rPr>
          <w:rFonts w:ascii="Times New Roman" w:hAnsi="Times New Roman" w:cs="Times New Roman"/>
          <w:sz w:val="24"/>
          <w:szCs w:val="24"/>
        </w:rPr>
        <w:t>”</w:t>
      </w:r>
      <w:r w:rsidRPr="009F3FFE">
        <w:rPr>
          <w:rFonts w:ascii="Times New Roman" w:hAnsi="Times New Roman" w:cs="Times New Roman"/>
          <w:sz w:val="24"/>
          <w:szCs w:val="24"/>
        </w:rPr>
        <w:t xml:space="preserve">, </w:t>
      </w:r>
      <w:r w:rsidR="00262E44" w:rsidRPr="009F3FFE">
        <w:rPr>
          <w:rFonts w:ascii="Times New Roman" w:hAnsi="Times New Roman" w:cs="Times New Roman"/>
          <w:sz w:val="24"/>
          <w:szCs w:val="24"/>
        </w:rPr>
        <w:t>he</w:t>
      </w:r>
      <w:r w:rsidR="00EC0072" w:rsidRPr="009F3FFE">
        <w:rPr>
          <w:rFonts w:ascii="Times New Roman" w:hAnsi="Times New Roman" w:cs="Times New Roman"/>
          <w:sz w:val="24"/>
          <w:szCs w:val="24"/>
        </w:rPr>
        <w:t xml:space="preserve"> is</w:t>
      </w:r>
      <w:r w:rsidR="001B5CE0" w:rsidRPr="009F3FFE">
        <w:rPr>
          <w:rFonts w:ascii="Times New Roman" w:hAnsi="Times New Roman" w:cs="Times New Roman"/>
          <w:sz w:val="24"/>
          <w:szCs w:val="24"/>
        </w:rPr>
        <w:t xml:space="preserve"> now </w:t>
      </w:r>
      <w:r w:rsidRPr="009F3FFE">
        <w:rPr>
          <w:rFonts w:ascii="Times New Roman" w:hAnsi="Times New Roman" w:cs="Times New Roman"/>
          <w:sz w:val="24"/>
          <w:szCs w:val="24"/>
        </w:rPr>
        <w:t xml:space="preserve">implicitly </w:t>
      </w:r>
      <w:r w:rsidR="001B5CE0" w:rsidRPr="009F3FFE">
        <w:rPr>
          <w:rFonts w:ascii="Times New Roman" w:hAnsi="Times New Roman" w:cs="Times New Roman"/>
          <w:sz w:val="24"/>
          <w:szCs w:val="24"/>
        </w:rPr>
        <w:t>positing three rather than two policy objecti</w:t>
      </w:r>
      <w:r w:rsidR="006D5DA8" w:rsidRPr="009F3FFE">
        <w:rPr>
          <w:rFonts w:ascii="Times New Roman" w:hAnsi="Times New Roman" w:cs="Times New Roman"/>
          <w:sz w:val="24"/>
          <w:szCs w:val="24"/>
        </w:rPr>
        <w:t xml:space="preserve">ves </w:t>
      </w:r>
      <w:r w:rsidR="0065490B">
        <w:rPr>
          <w:rFonts w:ascii="Times New Roman" w:hAnsi="Times New Roman" w:cs="Times New Roman"/>
          <w:sz w:val="24"/>
          <w:szCs w:val="24"/>
        </w:rPr>
        <w:t xml:space="preserve">(targets) </w:t>
      </w:r>
      <w:r w:rsidR="00C518A3" w:rsidRPr="009F3FFE">
        <w:rPr>
          <w:rFonts w:ascii="Times New Roman" w:hAnsi="Times New Roman" w:cs="Times New Roman"/>
          <w:sz w:val="24"/>
          <w:szCs w:val="24"/>
        </w:rPr>
        <w:t>for monetary policy makers</w:t>
      </w:r>
      <w:r w:rsidRPr="009F3FFE">
        <w:rPr>
          <w:rFonts w:ascii="Times New Roman" w:hAnsi="Times New Roman" w:cs="Times New Roman"/>
          <w:sz w:val="24"/>
          <w:szCs w:val="24"/>
        </w:rPr>
        <w:t xml:space="preserve"> armed with </w:t>
      </w:r>
      <w:r w:rsidR="00262E44" w:rsidRPr="009F3FFE">
        <w:rPr>
          <w:rFonts w:ascii="Times New Roman" w:hAnsi="Times New Roman" w:cs="Times New Roman"/>
          <w:sz w:val="24"/>
          <w:szCs w:val="24"/>
        </w:rPr>
        <w:t xml:space="preserve">but </w:t>
      </w:r>
      <w:r w:rsidRPr="009F3FFE">
        <w:rPr>
          <w:rFonts w:ascii="Times New Roman" w:hAnsi="Times New Roman" w:cs="Times New Roman"/>
          <w:sz w:val="24"/>
          <w:szCs w:val="24"/>
        </w:rPr>
        <w:t xml:space="preserve">one instrument (interest rate policy). </w:t>
      </w:r>
      <w:r w:rsidR="006D5DA8" w:rsidRPr="009F3FFE">
        <w:rPr>
          <w:rFonts w:ascii="Times New Roman" w:hAnsi="Times New Roman" w:cs="Times New Roman"/>
          <w:sz w:val="24"/>
          <w:szCs w:val="24"/>
        </w:rPr>
        <w:t xml:space="preserve">  </w:t>
      </w:r>
      <w:r w:rsidRPr="009F3FFE">
        <w:rPr>
          <w:rFonts w:ascii="Times New Roman" w:hAnsi="Times New Roman" w:cs="Times New Roman"/>
          <w:sz w:val="24"/>
          <w:szCs w:val="24"/>
        </w:rPr>
        <w:t xml:space="preserve">Even without a full specification of a modified </w:t>
      </w:r>
      <w:r w:rsidR="00307762">
        <w:rPr>
          <w:rFonts w:ascii="Times New Roman" w:hAnsi="Times New Roman" w:cs="Times New Roman"/>
          <w:sz w:val="24"/>
          <w:szCs w:val="24"/>
        </w:rPr>
        <w:t xml:space="preserve">rule, however, we can be </w:t>
      </w:r>
      <w:r w:rsidR="005B5865">
        <w:rPr>
          <w:rFonts w:ascii="Times New Roman" w:hAnsi="Times New Roman" w:cs="Times New Roman"/>
          <w:sz w:val="24"/>
          <w:szCs w:val="24"/>
        </w:rPr>
        <w:t xml:space="preserve">almost </w:t>
      </w:r>
      <w:r w:rsidRPr="009F3FFE">
        <w:rPr>
          <w:rFonts w:ascii="Times New Roman" w:hAnsi="Times New Roman" w:cs="Times New Roman"/>
          <w:sz w:val="24"/>
          <w:szCs w:val="24"/>
        </w:rPr>
        <w:t>certain</w:t>
      </w:r>
      <w:r w:rsidR="008F4DCC" w:rsidRPr="009F3FFE">
        <w:rPr>
          <w:rFonts w:ascii="Times New Roman" w:hAnsi="Times New Roman" w:cs="Times New Roman"/>
          <w:sz w:val="24"/>
          <w:szCs w:val="24"/>
        </w:rPr>
        <w:t xml:space="preserve"> that introducing the </w:t>
      </w:r>
      <w:r w:rsidR="006D5DA8" w:rsidRPr="009F3FFE">
        <w:rPr>
          <w:rFonts w:ascii="Times New Roman" w:hAnsi="Times New Roman" w:cs="Times New Roman"/>
          <w:sz w:val="24"/>
          <w:szCs w:val="24"/>
        </w:rPr>
        <w:t xml:space="preserve">possibility that either asset price inflation or goods and services </w:t>
      </w:r>
      <w:r w:rsidR="008F4DCC" w:rsidRPr="009F3FFE">
        <w:rPr>
          <w:rFonts w:ascii="Times New Roman" w:hAnsi="Times New Roman" w:cs="Times New Roman"/>
          <w:sz w:val="24"/>
          <w:szCs w:val="24"/>
        </w:rPr>
        <w:t xml:space="preserve">price </w:t>
      </w:r>
      <w:r w:rsidR="00307762">
        <w:rPr>
          <w:rFonts w:ascii="Times New Roman" w:hAnsi="Times New Roman" w:cs="Times New Roman"/>
          <w:sz w:val="24"/>
          <w:szCs w:val="24"/>
        </w:rPr>
        <w:t>inflation should trigger tightening</w:t>
      </w:r>
      <w:r w:rsidR="006D5DA8" w:rsidRPr="009F3FFE">
        <w:rPr>
          <w:rFonts w:ascii="Times New Roman" w:hAnsi="Times New Roman" w:cs="Times New Roman"/>
          <w:sz w:val="24"/>
          <w:szCs w:val="24"/>
        </w:rPr>
        <w:t xml:space="preserve"> w</w:t>
      </w:r>
      <w:r w:rsidR="00C518A3" w:rsidRPr="009F3FFE">
        <w:rPr>
          <w:rFonts w:ascii="Times New Roman" w:hAnsi="Times New Roman" w:cs="Times New Roman"/>
          <w:sz w:val="24"/>
          <w:szCs w:val="24"/>
        </w:rPr>
        <w:t>ill</w:t>
      </w:r>
      <w:r w:rsidR="005B5865">
        <w:rPr>
          <w:rFonts w:ascii="Times New Roman" w:hAnsi="Times New Roman" w:cs="Times New Roman"/>
          <w:sz w:val="24"/>
          <w:szCs w:val="24"/>
        </w:rPr>
        <w:t xml:space="preserve"> result in an</w:t>
      </w:r>
      <w:r w:rsidR="006D5DA8" w:rsidRPr="009F3FFE">
        <w:rPr>
          <w:rFonts w:ascii="Times New Roman" w:hAnsi="Times New Roman" w:cs="Times New Roman"/>
          <w:sz w:val="24"/>
          <w:szCs w:val="24"/>
        </w:rPr>
        <w:t xml:space="preserve"> </w:t>
      </w:r>
      <w:r w:rsidRPr="009F3FFE">
        <w:rPr>
          <w:rFonts w:ascii="Times New Roman" w:hAnsi="Times New Roman" w:cs="Times New Roman"/>
          <w:sz w:val="24"/>
          <w:szCs w:val="24"/>
        </w:rPr>
        <w:t xml:space="preserve">average </w:t>
      </w:r>
      <w:r w:rsidR="006D5DA8" w:rsidRPr="009F3FFE">
        <w:rPr>
          <w:rFonts w:ascii="Times New Roman" w:hAnsi="Times New Roman" w:cs="Times New Roman"/>
          <w:sz w:val="24"/>
          <w:szCs w:val="24"/>
        </w:rPr>
        <w:t xml:space="preserve">level of </w:t>
      </w:r>
      <w:r w:rsidR="008F4DCC" w:rsidRPr="009F3FFE">
        <w:rPr>
          <w:rFonts w:ascii="Times New Roman" w:hAnsi="Times New Roman" w:cs="Times New Roman"/>
          <w:sz w:val="24"/>
          <w:szCs w:val="24"/>
        </w:rPr>
        <w:t>nominal</w:t>
      </w:r>
      <w:r w:rsidR="006D5DA8" w:rsidRPr="009F3FFE">
        <w:rPr>
          <w:rFonts w:ascii="Times New Roman" w:hAnsi="Times New Roman" w:cs="Times New Roman"/>
          <w:sz w:val="24"/>
          <w:szCs w:val="24"/>
        </w:rPr>
        <w:t xml:space="preserve"> </w:t>
      </w:r>
      <w:r w:rsidR="00577517">
        <w:rPr>
          <w:rFonts w:ascii="Times New Roman" w:hAnsi="Times New Roman" w:cs="Times New Roman"/>
          <w:sz w:val="24"/>
          <w:szCs w:val="24"/>
        </w:rPr>
        <w:t xml:space="preserve">and real </w:t>
      </w:r>
      <w:r w:rsidR="006D5DA8" w:rsidRPr="009F3FFE">
        <w:rPr>
          <w:rFonts w:ascii="Times New Roman" w:hAnsi="Times New Roman" w:cs="Times New Roman"/>
          <w:sz w:val="24"/>
          <w:szCs w:val="24"/>
        </w:rPr>
        <w:t xml:space="preserve">rates </w:t>
      </w:r>
      <w:r w:rsidR="00262E44" w:rsidRPr="009F3FFE">
        <w:rPr>
          <w:rFonts w:ascii="Times New Roman" w:hAnsi="Times New Roman" w:cs="Times New Roman"/>
          <w:sz w:val="24"/>
          <w:szCs w:val="24"/>
        </w:rPr>
        <w:t>o</w:t>
      </w:r>
      <w:r w:rsidR="008F4DCC" w:rsidRPr="009F3FFE">
        <w:rPr>
          <w:rFonts w:ascii="Times New Roman" w:hAnsi="Times New Roman" w:cs="Times New Roman"/>
          <w:sz w:val="24"/>
          <w:szCs w:val="24"/>
        </w:rPr>
        <w:t>ver time</w:t>
      </w:r>
      <w:r w:rsidR="005B5865">
        <w:rPr>
          <w:rFonts w:ascii="Times New Roman" w:hAnsi="Times New Roman" w:cs="Times New Roman"/>
          <w:sz w:val="24"/>
          <w:szCs w:val="24"/>
        </w:rPr>
        <w:t xml:space="preserve"> higher than would have eventuated </w:t>
      </w:r>
      <w:r w:rsidR="00262E44" w:rsidRPr="009F3FFE">
        <w:rPr>
          <w:rFonts w:ascii="Times New Roman" w:hAnsi="Times New Roman" w:cs="Times New Roman"/>
          <w:sz w:val="24"/>
          <w:szCs w:val="24"/>
        </w:rPr>
        <w:t>under a rule</w:t>
      </w:r>
      <w:r w:rsidR="006D5DA8" w:rsidRPr="009F3FFE">
        <w:rPr>
          <w:rFonts w:ascii="Times New Roman" w:hAnsi="Times New Roman" w:cs="Times New Roman"/>
          <w:sz w:val="24"/>
          <w:szCs w:val="24"/>
        </w:rPr>
        <w:t xml:space="preserve"> that looked only at the output gap and goods and services inflation.  </w:t>
      </w:r>
      <w:r w:rsidR="00307762">
        <w:rPr>
          <w:rFonts w:ascii="Times New Roman" w:hAnsi="Times New Roman" w:cs="Times New Roman"/>
          <w:sz w:val="24"/>
          <w:szCs w:val="24"/>
        </w:rPr>
        <w:t>The reason is simply that we</w:t>
      </w:r>
      <w:r w:rsidR="00C518A3" w:rsidRPr="009F3FFE">
        <w:rPr>
          <w:rFonts w:ascii="Times New Roman" w:hAnsi="Times New Roman" w:cs="Times New Roman"/>
          <w:sz w:val="24"/>
          <w:szCs w:val="24"/>
        </w:rPr>
        <w:t xml:space="preserve"> now have not one but two possible triggers for higher rates.  </w:t>
      </w:r>
      <w:r w:rsidR="0016228D">
        <w:rPr>
          <w:rFonts w:ascii="Times New Roman" w:hAnsi="Times New Roman" w:cs="Times New Roman"/>
          <w:sz w:val="24"/>
          <w:szCs w:val="24"/>
        </w:rPr>
        <w:t>Partly this is du</w:t>
      </w:r>
      <w:r w:rsidR="0007276B">
        <w:rPr>
          <w:rFonts w:ascii="Times New Roman" w:hAnsi="Times New Roman" w:cs="Times New Roman"/>
          <w:sz w:val="24"/>
          <w:szCs w:val="24"/>
        </w:rPr>
        <w:t>e to</w:t>
      </w:r>
      <w:r w:rsidR="0016228D">
        <w:rPr>
          <w:rFonts w:ascii="Times New Roman" w:hAnsi="Times New Roman" w:cs="Times New Roman"/>
          <w:sz w:val="24"/>
          <w:szCs w:val="24"/>
        </w:rPr>
        <w:t xml:space="preserve"> an asymmetry:  </w:t>
      </w:r>
      <w:r w:rsidR="00B74CCB">
        <w:rPr>
          <w:rFonts w:ascii="Times New Roman" w:hAnsi="Times New Roman" w:cs="Times New Roman"/>
          <w:sz w:val="24"/>
          <w:szCs w:val="24"/>
        </w:rPr>
        <w:t xml:space="preserve">there is more emphasis on the prospect that </w:t>
      </w:r>
      <w:r w:rsidR="0016228D">
        <w:rPr>
          <w:rFonts w:ascii="Times New Roman" w:hAnsi="Times New Roman" w:cs="Times New Roman"/>
          <w:sz w:val="24"/>
          <w:szCs w:val="24"/>
        </w:rPr>
        <w:t>high or rising asset</w:t>
      </w:r>
      <w:r w:rsidR="00B74CCB">
        <w:rPr>
          <w:rFonts w:ascii="Times New Roman" w:hAnsi="Times New Roman" w:cs="Times New Roman"/>
          <w:sz w:val="24"/>
          <w:szCs w:val="24"/>
        </w:rPr>
        <w:t xml:space="preserve"> prices should</w:t>
      </w:r>
      <w:r w:rsidR="0016228D">
        <w:rPr>
          <w:rFonts w:ascii="Times New Roman" w:hAnsi="Times New Roman" w:cs="Times New Roman"/>
          <w:sz w:val="24"/>
          <w:szCs w:val="24"/>
        </w:rPr>
        <w:t xml:space="preserve"> trigger higher policy rate</w:t>
      </w:r>
      <w:r w:rsidR="00B74CCB">
        <w:rPr>
          <w:rFonts w:ascii="Times New Roman" w:hAnsi="Times New Roman" w:cs="Times New Roman"/>
          <w:sz w:val="24"/>
          <w:szCs w:val="24"/>
        </w:rPr>
        <w:t xml:space="preserve">s, </w:t>
      </w:r>
      <w:r w:rsidR="00C66233">
        <w:rPr>
          <w:rFonts w:ascii="Times New Roman" w:hAnsi="Times New Roman" w:cs="Times New Roman"/>
          <w:sz w:val="24"/>
          <w:szCs w:val="24"/>
        </w:rPr>
        <w:t>than on the prospect</w:t>
      </w:r>
      <w:r w:rsidR="0016228D">
        <w:rPr>
          <w:rFonts w:ascii="Times New Roman" w:hAnsi="Times New Roman" w:cs="Times New Roman"/>
          <w:sz w:val="24"/>
          <w:szCs w:val="24"/>
        </w:rPr>
        <w:t xml:space="preserve"> that low or falling asset prices (independently of the signals offered by the </w:t>
      </w:r>
      <w:r w:rsidR="00B74CCB">
        <w:rPr>
          <w:rFonts w:ascii="Times New Roman" w:hAnsi="Times New Roman" w:cs="Times New Roman"/>
          <w:sz w:val="24"/>
          <w:szCs w:val="24"/>
        </w:rPr>
        <w:t>inflation rate and output gap</w:t>
      </w:r>
      <w:r w:rsidR="00C66233">
        <w:rPr>
          <w:rFonts w:ascii="Times New Roman" w:hAnsi="Times New Roman" w:cs="Times New Roman"/>
          <w:sz w:val="24"/>
          <w:szCs w:val="24"/>
        </w:rPr>
        <w:t>)</w:t>
      </w:r>
      <w:r w:rsidR="00B74CCB">
        <w:rPr>
          <w:rFonts w:ascii="Times New Roman" w:hAnsi="Times New Roman" w:cs="Times New Roman"/>
          <w:sz w:val="24"/>
          <w:szCs w:val="24"/>
        </w:rPr>
        <w:t xml:space="preserve">, </w:t>
      </w:r>
      <w:r w:rsidR="00C66233">
        <w:rPr>
          <w:rFonts w:ascii="Times New Roman" w:hAnsi="Times New Roman" w:cs="Times New Roman"/>
          <w:sz w:val="24"/>
          <w:szCs w:val="24"/>
        </w:rPr>
        <w:t>sh</w:t>
      </w:r>
      <w:r w:rsidR="00B74CCB">
        <w:rPr>
          <w:rFonts w:ascii="Times New Roman" w:hAnsi="Times New Roman" w:cs="Times New Roman"/>
          <w:sz w:val="24"/>
          <w:szCs w:val="24"/>
        </w:rPr>
        <w:t>ould</w:t>
      </w:r>
      <w:r w:rsidR="0016228D">
        <w:rPr>
          <w:rFonts w:ascii="Times New Roman" w:hAnsi="Times New Roman" w:cs="Times New Roman"/>
          <w:sz w:val="24"/>
          <w:szCs w:val="24"/>
        </w:rPr>
        <w:t xml:space="preserve"> trigger lower rates.  </w:t>
      </w:r>
      <w:r w:rsidR="00A35A63">
        <w:rPr>
          <w:rFonts w:ascii="Times New Roman" w:hAnsi="Times New Roman" w:cs="Times New Roman"/>
          <w:sz w:val="24"/>
          <w:szCs w:val="24"/>
        </w:rPr>
        <w:t>Thus</w:t>
      </w:r>
      <w:r w:rsidR="008E04F7" w:rsidRPr="009F3FFE">
        <w:rPr>
          <w:rFonts w:ascii="Times New Roman" w:hAnsi="Times New Roman" w:cs="Times New Roman"/>
          <w:sz w:val="24"/>
          <w:szCs w:val="24"/>
        </w:rPr>
        <w:t xml:space="preserve"> over the short term, there would </w:t>
      </w:r>
      <w:r w:rsidR="00A35A63">
        <w:rPr>
          <w:rFonts w:ascii="Times New Roman" w:hAnsi="Times New Roman" w:cs="Times New Roman"/>
          <w:sz w:val="24"/>
          <w:szCs w:val="24"/>
        </w:rPr>
        <w:t xml:space="preserve">almost certainly </w:t>
      </w:r>
      <w:r w:rsidR="008E04F7" w:rsidRPr="009F3FFE">
        <w:rPr>
          <w:rFonts w:ascii="Times New Roman" w:hAnsi="Times New Roman" w:cs="Times New Roman"/>
          <w:sz w:val="24"/>
          <w:szCs w:val="24"/>
        </w:rPr>
        <w:t xml:space="preserve">be more periods in which the </w:t>
      </w:r>
      <w:r w:rsidR="00E131A1">
        <w:rPr>
          <w:rFonts w:ascii="Times New Roman" w:hAnsi="Times New Roman" w:cs="Times New Roman"/>
          <w:sz w:val="24"/>
          <w:szCs w:val="24"/>
        </w:rPr>
        <w:t>ex post real interest rate</w:t>
      </w:r>
      <w:r w:rsidR="008E04F7" w:rsidRPr="009F3FFE">
        <w:rPr>
          <w:rFonts w:ascii="Times New Roman" w:hAnsi="Times New Roman" w:cs="Times New Roman"/>
          <w:sz w:val="24"/>
          <w:szCs w:val="24"/>
        </w:rPr>
        <w:t xml:space="preserve"> exceed</w:t>
      </w:r>
      <w:r w:rsidR="00E131A1">
        <w:rPr>
          <w:rFonts w:ascii="Times New Roman" w:hAnsi="Times New Roman" w:cs="Times New Roman"/>
          <w:sz w:val="24"/>
          <w:szCs w:val="24"/>
        </w:rPr>
        <w:t>ed</w:t>
      </w:r>
      <w:r w:rsidR="00A35A63">
        <w:rPr>
          <w:rFonts w:ascii="Times New Roman" w:hAnsi="Times New Roman" w:cs="Times New Roman"/>
          <w:sz w:val="24"/>
          <w:szCs w:val="24"/>
        </w:rPr>
        <w:t xml:space="preserve"> the </w:t>
      </w:r>
      <w:r w:rsidR="00C66233">
        <w:rPr>
          <w:rFonts w:ascii="Times New Roman" w:hAnsi="Times New Roman" w:cs="Times New Roman"/>
          <w:sz w:val="24"/>
          <w:szCs w:val="24"/>
        </w:rPr>
        <w:t>two</w:t>
      </w:r>
      <w:r w:rsidR="00A35A63">
        <w:rPr>
          <w:rFonts w:ascii="Times New Roman" w:hAnsi="Times New Roman" w:cs="Times New Roman"/>
          <w:sz w:val="24"/>
          <w:szCs w:val="24"/>
        </w:rPr>
        <w:t xml:space="preserve"> </w:t>
      </w:r>
      <w:r w:rsidR="008E04F7" w:rsidRPr="009F3FFE">
        <w:rPr>
          <w:rFonts w:ascii="Times New Roman" w:hAnsi="Times New Roman" w:cs="Times New Roman"/>
          <w:sz w:val="24"/>
          <w:szCs w:val="24"/>
        </w:rPr>
        <w:t xml:space="preserve">percent Taylor has assumed </w:t>
      </w:r>
      <w:r w:rsidR="005D6CB1">
        <w:rPr>
          <w:rFonts w:ascii="Times New Roman" w:hAnsi="Times New Roman" w:cs="Times New Roman"/>
          <w:sz w:val="24"/>
          <w:szCs w:val="24"/>
        </w:rPr>
        <w:t>the Wicksellian “natural” rate</w:t>
      </w:r>
      <w:r w:rsidR="008E04F7" w:rsidRPr="009F3FFE">
        <w:rPr>
          <w:rFonts w:ascii="Times New Roman" w:hAnsi="Times New Roman" w:cs="Times New Roman"/>
          <w:sz w:val="24"/>
          <w:szCs w:val="24"/>
        </w:rPr>
        <w:t xml:space="preserve"> to be, or w</w:t>
      </w:r>
      <w:r w:rsidR="0036431D">
        <w:rPr>
          <w:rFonts w:ascii="Times New Roman" w:hAnsi="Times New Roman" w:cs="Times New Roman"/>
          <w:sz w:val="24"/>
          <w:szCs w:val="24"/>
        </w:rPr>
        <w:t>hatever</w:t>
      </w:r>
      <w:r w:rsidR="00ED75F0">
        <w:rPr>
          <w:rFonts w:ascii="Times New Roman" w:hAnsi="Times New Roman" w:cs="Times New Roman"/>
          <w:sz w:val="24"/>
          <w:szCs w:val="24"/>
        </w:rPr>
        <w:t xml:space="preserve"> other v</w:t>
      </w:r>
      <w:r w:rsidR="0036431D">
        <w:rPr>
          <w:rFonts w:ascii="Times New Roman" w:hAnsi="Times New Roman" w:cs="Times New Roman"/>
          <w:sz w:val="24"/>
          <w:szCs w:val="24"/>
        </w:rPr>
        <w:t xml:space="preserve">alue the natural rate may </w:t>
      </w:r>
      <w:r w:rsidR="0065490B">
        <w:rPr>
          <w:rFonts w:ascii="Times New Roman" w:hAnsi="Times New Roman" w:cs="Times New Roman"/>
          <w:sz w:val="24"/>
          <w:szCs w:val="24"/>
        </w:rPr>
        <w:t>be</w:t>
      </w:r>
      <w:r w:rsidR="008E04F7" w:rsidRPr="009F3FFE">
        <w:rPr>
          <w:rFonts w:ascii="Times New Roman" w:hAnsi="Times New Roman" w:cs="Times New Roman"/>
          <w:sz w:val="24"/>
          <w:szCs w:val="24"/>
        </w:rPr>
        <w:t xml:space="preserve">.  At least over the short </w:t>
      </w:r>
      <w:r w:rsidR="005D6CB1">
        <w:rPr>
          <w:rFonts w:ascii="Times New Roman" w:hAnsi="Times New Roman" w:cs="Times New Roman"/>
          <w:sz w:val="24"/>
          <w:szCs w:val="24"/>
        </w:rPr>
        <w:t xml:space="preserve">to medium </w:t>
      </w:r>
      <w:r w:rsidR="008E04F7" w:rsidRPr="009F3FFE">
        <w:rPr>
          <w:rFonts w:ascii="Times New Roman" w:hAnsi="Times New Roman" w:cs="Times New Roman"/>
          <w:sz w:val="24"/>
          <w:szCs w:val="24"/>
        </w:rPr>
        <w:t xml:space="preserve">run, this will result in lower </w:t>
      </w:r>
      <w:r w:rsidR="005D6CB1">
        <w:rPr>
          <w:rFonts w:ascii="Times New Roman" w:hAnsi="Times New Roman" w:cs="Times New Roman"/>
          <w:sz w:val="24"/>
          <w:szCs w:val="24"/>
        </w:rPr>
        <w:t xml:space="preserve">trajectories for output and </w:t>
      </w:r>
      <w:r w:rsidR="008E04F7" w:rsidRPr="009F3FFE">
        <w:rPr>
          <w:rFonts w:ascii="Times New Roman" w:hAnsi="Times New Roman" w:cs="Times New Roman"/>
          <w:sz w:val="24"/>
          <w:szCs w:val="24"/>
        </w:rPr>
        <w:t>employment</w:t>
      </w:r>
      <w:r w:rsidR="005D6CB1">
        <w:rPr>
          <w:rFonts w:ascii="Times New Roman" w:hAnsi="Times New Roman" w:cs="Times New Roman"/>
          <w:sz w:val="24"/>
          <w:szCs w:val="24"/>
        </w:rPr>
        <w:t>,</w:t>
      </w:r>
      <w:r w:rsidR="008E04F7" w:rsidRPr="009F3FFE">
        <w:rPr>
          <w:rFonts w:ascii="Times New Roman" w:hAnsi="Times New Roman" w:cs="Times New Roman"/>
          <w:sz w:val="24"/>
          <w:szCs w:val="24"/>
        </w:rPr>
        <w:t xml:space="preserve"> and higher </w:t>
      </w:r>
      <w:r w:rsidR="005D6CB1">
        <w:rPr>
          <w:rFonts w:ascii="Times New Roman" w:hAnsi="Times New Roman" w:cs="Times New Roman"/>
          <w:sz w:val="24"/>
          <w:szCs w:val="24"/>
        </w:rPr>
        <w:t xml:space="preserve">trajectories for </w:t>
      </w:r>
      <w:r w:rsidR="008E04F7" w:rsidRPr="009F3FFE">
        <w:rPr>
          <w:rFonts w:ascii="Times New Roman" w:hAnsi="Times New Roman" w:cs="Times New Roman"/>
          <w:sz w:val="24"/>
          <w:szCs w:val="24"/>
        </w:rPr>
        <w:t xml:space="preserve">unemployment than </w:t>
      </w:r>
      <w:r w:rsidR="005B5865">
        <w:rPr>
          <w:rFonts w:ascii="Times New Roman" w:hAnsi="Times New Roman" w:cs="Times New Roman"/>
          <w:sz w:val="24"/>
          <w:szCs w:val="24"/>
        </w:rPr>
        <w:t>otherwise would have resulted.</w:t>
      </w:r>
      <w:r w:rsidR="008E04F7" w:rsidRPr="009F3FFE">
        <w:rPr>
          <w:rFonts w:ascii="Times New Roman" w:hAnsi="Times New Roman" w:cs="Times New Roman"/>
          <w:sz w:val="24"/>
          <w:szCs w:val="24"/>
        </w:rPr>
        <w:t xml:space="preserve">  </w:t>
      </w:r>
    </w:p>
    <w:p w14:paraId="29E0FB92" w14:textId="6CE56C3F" w:rsidR="008E04F7" w:rsidRPr="009F3FFE" w:rsidRDefault="005D6CB1" w:rsidP="005D6CB1">
      <w:pPr>
        <w:spacing w:line="480" w:lineRule="auto"/>
        <w:rPr>
          <w:rFonts w:ascii="Times New Roman" w:hAnsi="Times New Roman" w:cs="Times New Roman"/>
          <w:sz w:val="24"/>
          <w:szCs w:val="24"/>
        </w:rPr>
      </w:pPr>
      <w:r>
        <w:rPr>
          <w:rFonts w:ascii="Times New Roman" w:hAnsi="Times New Roman" w:cs="Times New Roman"/>
          <w:sz w:val="24"/>
          <w:szCs w:val="24"/>
        </w:rPr>
        <w:t xml:space="preserve">      It’s possible</w:t>
      </w:r>
      <w:r w:rsidR="008E04F7" w:rsidRPr="009F3FFE">
        <w:rPr>
          <w:rFonts w:ascii="Times New Roman" w:hAnsi="Times New Roman" w:cs="Times New Roman"/>
          <w:sz w:val="24"/>
          <w:szCs w:val="24"/>
        </w:rPr>
        <w:t xml:space="preserve"> a policy focusing on asset price inflation as well as goods and service price inflation would nevertheless reduce the likelihood and severity of 2008 style financia</w:t>
      </w:r>
      <w:r w:rsidR="00E41E78">
        <w:rPr>
          <w:rFonts w:ascii="Times New Roman" w:hAnsi="Times New Roman" w:cs="Times New Roman"/>
          <w:sz w:val="24"/>
          <w:szCs w:val="24"/>
        </w:rPr>
        <w:t xml:space="preserve">l crisis, and the recession, </w:t>
      </w:r>
      <w:r w:rsidR="008E04F7" w:rsidRPr="009F3FFE">
        <w:rPr>
          <w:rFonts w:ascii="Times New Roman" w:hAnsi="Times New Roman" w:cs="Times New Roman"/>
          <w:sz w:val="24"/>
          <w:szCs w:val="24"/>
        </w:rPr>
        <w:t>slow recovery</w:t>
      </w:r>
      <w:r w:rsidR="00E41E78">
        <w:rPr>
          <w:rFonts w:ascii="Times New Roman" w:hAnsi="Times New Roman" w:cs="Times New Roman"/>
          <w:sz w:val="24"/>
          <w:szCs w:val="24"/>
        </w:rPr>
        <w:t>, and slowed growth of potential output</w:t>
      </w:r>
      <w:r w:rsidR="008E04F7" w:rsidRPr="009F3FFE">
        <w:rPr>
          <w:rFonts w:ascii="Times New Roman" w:hAnsi="Times New Roman" w:cs="Times New Roman"/>
          <w:sz w:val="24"/>
          <w:szCs w:val="24"/>
        </w:rPr>
        <w:t xml:space="preserve"> </w:t>
      </w:r>
      <w:r w:rsidR="00E131A1">
        <w:rPr>
          <w:rFonts w:ascii="Times New Roman" w:hAnsi="Times New Roman" w:cs="Times New Roman"/>
          <w:sz w:val="24"/>
          <w:szCs w:val="24"/>
        </w:rPr>
        <w:t>that followed.  F</w:t>
      </w:r>
      <w:r>
        <w:rPr>
          <w:rFonts w:ascii="Times New Roman" w:hAnsi="Times New Roman" w:cs="Times New Roman"/>
          <w:sz w:val="24"/>
          <w:szCs w:val="24"/>
        </w:rPr>
        <w:t>rom a longer run perspective</w:t>
      </w:r>
      <w:r w:rsidR="008E04F7" w:rsidRPr="009F3FFE">
        <w:rPr>
          <w:rFonts w:ascii="Times New Roman" w:hAnsi="Times New Roman" w:cs="Times New Roman"/>
          <w:sz w:val="24"/>
          <w:szCs w:val="24"/>
        </w:rPr>
        <w:t xml:space="preserve"> ou</w:t>
      </w:r>
      <w:r w:rsidR="009F3FFE">
        <w:rPr>
          <w:rFonts w:ascii="Times New Roman" w:hAnsi="Times New Roman" w:cs="Times New Roman"/>
          <w:sz w:val="24"/>
          <w:szCs w:val="24"/>
        </w:rPr>
        <w:t>tp</w:t>
      </w:r>
      <w:r w:rsidR="00A35A63">
        <w:rPr>
          <w:rFonts w:ascii="Times New Roman" w:hAnsi="Times New Roman" w:cs="Times New Roman"/>
          <w:sz w:val="24"/>
          <w:szCs w:val="24"/>
        </w:rPr>
        <w:t>ut losses in the short run might</w:t>
      </w:r>
      <w:r w:rsidR="009F3FFE">
        <w:rPr>
          <w:rFonts w:ascii="Times New Roman" w:hAnsi="Times New Roman" w:cs="Times New Roman"/>
          <w:sz w:val="24"/>
          <w:szCs w:val="24"/>
        </w:rPr>
        <w:t xml:space="preserve"> be</w:t>
      </w:r>
      <w:r w:rsidR="008E04F7" w:rsidRPr="009F3FFE">
        <w:rPr>
          <w:rFonts w:ascii="Times New Roman" w:hAnsi="Times New Roman" w:cs="Times New Roman"/>
          <w:sz w:val="24"/>
          <w:szCs w:val="24"/>
        </w:rPr>
        <w:t xml:space="preserve"> more than c</w:t>
      </w:r>
      <w:r>
        <w:rPr>
          <w:rFonts w:ascii="Times New Roman" w:hAnsi="Times New Roman" w:cs="Times New Roman"/>
          <w:sz w:val="24"/>
          <w:szCs w:val="24"/>
        </w:rPr>
        <w:t>ompensated for</w:t>
      </w:r>
      <w:r w:rsidR="008E04F7" w:rsidRPr="009F3FFE">
        <w:rPr>
          <w:rFonts w:ascii="Times New Roman" w:hAnsi="Times New Roman" w:cs="Times New Roman"/>
          <w:sz w:val="24"/>
          <w:szCs w:val="24"/>
        </w:rPr>
        <w:t xml:space="preserve"> by the avoida</w:t>
      </w:r>
      <w:r>
        <w:rPr>
          <w:rFonts w:ascii="Times New Roman" w:hAnsi="Times New Roman" w:cs="Times New Roman"/>
          <w:sz w:val="24"/>
          <w:szCs w:val="24"/>
        </w:rPr>
        <w:t>nce</w:t>
      </w:r>
      <w:r w:rsidR="00767ABB">
        <w:rPr>
          <w:rFonts w:ascii="Times New Roman" w:hAnsi="Times New Roman" w:cs="Times New Roman"/>
          <w:sz w:val="24"/>
          <w:szCs w:val="24"/>
        </w:rPr>
        <w:t xml:space="preserve"> of severe cumulative</w:t>
      </w:r>
      <w:r w:rsidR="00E41E78">
        <w:rPr>
          <w:rFonts w:ascii="Times New Roman" w:hAnsi="Times New Roman" w:cs="Times New Roman"/>
          <w:sz w:val="24"/>
          <w:szCs w:val="24"/>
        </w:rPr>
        <w:t xml:space="preserve"> output losses</w:t>
      </w:r>
      <w:r>
        <w:rPr>
          <w:rFonts w:ascii="Times New Roman" w:hAnsi="Times New Roman" w:cs="Times New Roman"/>
          <w:sz w:val="24"/>
          <w:szCs w:val="24"/>
        </w:rPr>
        <w:t xml:space="preserve"> </w:t>
      </w:r>
      <w:r w:rsidR="008E04F7" w:rsidRPr="009F3FFE">
        <w:rPr>
          <w:rFonts w:ascii="Times New Roman" w:hAnsi="Times New Roman" w:cs="Times New Roman"/>
          <w:sz w:val="24"/>
          <w:szCs w:val="24"/>
        </w:rPr>
        <w:t>following financ</w:t>
      </w:r>
      <w:r>
        <w:rPr>
          <w:rFonts w:ascii="Times New Roman" w:hAnsi="Times New Roman" w:cs="Times New Roman"/>
          <w:sz w:val="24"/>
          <w:szCs w:val="24"/>
        </w:rPr>
        <w:t>ial crisis.  But to pursue a version</w:t>
      </w:r>
      <w:r w:rsidR="008E04F7" w:rsidRPr="009F3FFE">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of </w:t>
      </w:r>
      <w:r w:rsidR="0066684F">
        <w:rPr>
          <w:rFonts w:ascii="Times New Roman" w:hAnsi="Times New Roman" w:cs="Times New Roman"/>
          <w:sz w:val="24"/>
          <w:szCs w:val="24"/>
        </w:rPr>
        <w:t>a modified Taylor</w:t>
      </w:r>
      <w:r>
        <w:rPr>
          <w:rFonts w:ascii="Times New Roman" w:hAnsi="Times New Roman" w:cs="Times New Roman"/>
          <w:sz w:val="24"/>
          <w:szCs w:val="24"/>
        </w:rPr>
        <w:t xml:space="preserve"> rule </w:t>
      </w:r>
      <w:r w:rsidR="00E41E78">
        <w:rPr>
          <w:rFonts w:ascii="Times New Roman" w:hAnsi="Times New Roman" w:cs="Times New Roman"/>
          <w:sz w:val="24"/>
          <w:szCs w:val="24"/>
        </w:rPr>
        <w:t xml:space="preserve">that also responds </w:t>
      </w:r>
      <w:r w:rsidR="0066684F">
        <w:rPr>
          <w:rFonts w:ascii="Times New Roman" w:hAnsi="Times New Roman" w:cs="Times New Roman"/>
          <w:sz w:val="24"/>
          <w:szCs w:val="24"/>
        </w:rPr>
        <w:t xml:space="preserve">to divergence of assets from “fundamental value” </w:t>
      </w:r>
      <w:r w:rsidR="00A35A63">
        <w:rPr>
          <w:rFonts w:ascii="Times New Roman" w:hAnsi="Times New Roman" w:cs="Times New Roman"/>
          <w:sz w:val="24"/>
          <w:szCs w:val="24"/>
        </w:rPr>
        <w:t>would be</w:t>
      </w:r>
      <w:r w:rsidR="008E04F7" w:rsidRPr="009F3FFE">
        <w:rPr>
          <w:rFonts w:ascii="Times New Roman" w:hAnsi="Times New Roman" w:cs="Times New Roman"/>
          <w:sz w:val="24"/>
          <w:szCs w:val="24"/>
        </w:rPr>
        <w:t xml:space="preserve"> to trade the near certainty of output loss now for the </w:t>
      </w:r>
      <w:r>
        <w:rPr>
          <w:rFonts w:ascii="Times New Roman" w:hAnsi="Times New Roman" w:cs="Times New Roman"/>
          <w:sz w:val="24"/>
          <w:szCs w:val="24"/>
        </w:rPr>
        <w:t>uncertain</w:t>
      </w:r>
      <w:r w:rsidR="005B5865">
        <w:rPr>
          <w:rFonts w:ascii="Times New Roman" w:hAnsi="Times New Roman" w:cs="Times New Roman"/>
          <w:sz w:val="24"/>
          <w:szCs w:val="24"/>
        </w:rPr>
        <w:t xml:space="preserve"> possibility of avoiding </w:t>
      </w:r>
      <w:r w:rsidR="00767ABB">
        <w:rPr>
          <w:rFonts w:ascii="Times New Roman" w:hAnsi="Times New Roman" w:cs="Times New Roman"/>
          <w:sz w:val="24"/>
          <w:szCs w:val="24"/>
        </w:rPr>
        <w:t>possibly larger losse</w:t>
      </w:r>
      <w:r>
        <w:rPr>
          <w:rFonts w:ascii="Times New Roman" w:hAnsi="Times New Roman" w:cs="Times New Roman"/>
          <w:sz w:val="24"/>
          <w:szCs w:val="24"/>
        </w:rPr>
        <w:t xml:space="preserve">s </w:t>
      </w:r>
      <w:r w:rsidR="008E04F7" w:rsidRPr="009F3FFE">
        <w:rPr>
          <w:rFonts w:ascii="Times New Roman" w:hAnsi="Times New Roman" w:cs="Times New Roman"/>
          <w:sz w:val="24"/>
          <w:szCs w:val="24"/>
        </w:rPr>
        <w:t xml:space="preserve">in the future.  It is </w:t>
      </w:r>
      <w:r w:rsidR="00E44B8D">
        <w:rPr>
          <w:rFonts w:ascii="Times New Roman" w:hAnsi="Times New Roman" w:cs="Times New Roman"/>
          <w:sz w:val="24"/>
          <w:szCs w:val="24"/>
        </w:rPr>
        <w:t xml:space="preserve">a wager </w:t>
      </w:r>
      <w:r>
        <w:rPr>
          <w:rFonts w:ascii="Times New Roman" w:hAnsi="Times New Roman" w:cs="Times New Roman"/>
          <w:sz w:val="24"/>
          <w:szCs w:val="24"/>
        </w:rPr>
        <w:t xml:space="preserve">that might be worth </w:t>
      </w:r>
      <w:r w:rsidR="00E44B8D">
        <w:rPr>
          <w:rFonts w:ascii="Times New Roman" w:hAnsi="Times New Roman" w:cs="Times New Roman"/>
          <w:sz w:val="24"/>
          <w:szCs w:val="24"/>
        </w:rPr>
        <w:t>m</w:t>
      </w:r>
      <w:r>
        <w:rPr>
          <w:rFonts w:ascii="Times New Roman" w:hAnsi="Times New Roman" w:cs="Times New Roman"/>
          <w:sz w:val="24"/>
          <w:szCs w:val="24"/>
        </w:rPr>
        <w:t>aking</w:t>
      </w:r>
      <w:r w:rsidR="0066684F">
        <w:rPr>
          <w:rFonts w:ascii="Times New Roman" w:hAnsi="Times New Roman" w:cs="Times New Roman"/>
          <w:sz w:val="24"/>
          <w:szCs w:val="24"/>
        </w:rPr>
        <w:t>, but</w:t>
      </w:r>
      <w:r w:rsidR="005B5865">
        <w:rPr>
          <w:rFonts w:ascii="Times New Roman" w:hAnsi="Times New Roman" w:cs="Times New Roman"/>
          <w:sz w:val="24"/>
          <w:szCs w:val="24"/>
        </w:rPr>
        <w:t xml:space="preserve"> </w:t>
      </w:r>
      <w:r w:rsidR="00A35A63">
        <w:rPr>
          <w:rFonts w:ascii="Times New Roman" w:hAnsi="Times New Roman" w:cs="Times New Roman"/>
          <w:sz w:val="24"/>
          <w:szCs w:val="24"/>
        </w:rPr>
        <w:t>one</w:t>
      </w:r>
      <w:r w:rsidR="009F3FFE">
        <w:rPr>
          <w:rFonts w:ascii="Times New Roman" w:hAnsi="Times New Roman" w:cs="Times New Roman"/>
          <w:sz w:val="24"/>
          <w:szCs w:val="24"/>
        </w:rPr>
        <w:t xml:space="preserve"> that</w:t>
      </w:r>
      <w:r w:rsidR="008E04F7" w:rsidRPr="009F3FFE">
        <w:rPr>
          <w:rFonts w:ascii="Times New Roman" w:hAnsi="Times New Roman" w:cs="Times New Roman"/>
          <w:sz w:val="24"/>
          <w:szCs w:val="24"/>
        </w:rPr>
        <w:t xml:space="preserve"> deserves careful scrutiny.</w:t>
      </w:r>
      <w:r w:rsidR="00DA63E7">
        <w:rPr>
          <w:rStyle w:val="FootnoteReference"/>
          <w:rFonts w:ascii="Times New Roman" w:hAnsi="Times New Roman" w:cs="Times New Roman"/>
          <w:sz w:val="24"/>
          <w:szCs w:val="24"/>
        </w:rPr>
        <w:footnoteReference w:id="10"/>
      </w:r>
      <w:r w:rsidR="00256412">
        <w:rPr>
          <w:rFonts w:ascii="Times New Roman" w:hAnsi="Times New Roman" w:cs="Times New Roman"/>
          <w:sz w:val="24"/>
          <w:szCs w:val="24"/>
        </w:rPr>
        <w:t xml:space="preserve"> </w:t>
      </w:r>
      <w:r w:rsidR="00166B9A">
        <w:rPr>
          <w:rFonts w:ascii="Times New Roman" w:hAnsi="Times New Roman" w:cs="Times New Roman"/>
          <w:sz w:val="24"/>
          <w:szCs w:val="24"/>
        </w:rPr>
        <w:t>In the worst case, it</w:t>
      </w:r>
      <w:r w:rsidR="00256412">
        <w:rPr>
          <w:rFonts w:ascii="Times New Roman" w:hAnsi="Times New Roman" w:cs="Times New Roman"/>
          <w:sz w:val="24"/>
          <w:szCs w:val="24"/>
        </w:rPr>
        <w:t xml:space="preserve"> might be no more reasonable than making sacrifices to the gods in hopes of avoiding volcanic eruptions or earthquakes.</w:t>
      </w:r>
    </w:p>
    <w:p w14:paraId="180EF428" w14:textId="7B948DBF" w:rsidR="001B5CE0" w:rsidRPr="009F3FFE" w:rsidRDefault="008E04F7" w:rsidP="009F3FF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I</w:t>
      </w:r>
      <w:r w:rsidR="006D5DA8" w:rsidRPr="009F3FFE">
        <w:rPr>
          <w:rFonts w:ascii="Times New Roman" w:hAnsi="Times New Roman" w:cs="Times New Roman"/>
          <w:sz w:val="24"/>
          <w:szCs w:val="24"/>
        </w:rPr>
        <w:t xml:space="preserve">f we agree that identifying and deflating asset bubbles are appropriate concerns for policy makers, we need to </w:t>
      </w:r>
      <w:r w:rsidRPr="009F3FFE">
        <w:rPr>
          <w:rFonts w:ascii="Times New Roman" w:hAnsi="Times New Roman" w:cs="Times New Roman"/>
          <w:sz w:val="24"/>
          <w:szCs w:val="24"/>
        </w:rPr>
        <w:t xml:space="preserve">inquire </w:t>
      </w:r>
      <w:r w:rsidR="006D5DA8" w:rsidRPr="009F3FFE">
        <w:rPr>
          <w:rFonts w:ascii="Times New Roman" w:hAnsi="Times New Roman" w:cs="Times New Roman"/>
          <w:sz w:val="24"/>
          <w:szCs w:val="24"/>
        </w:rPr>
        <w:t xml:space="preserve">whether </w:t>
      </w:r>
      <w:r w:rsidR="001B5CE0" w:rsidRPr="009F3FFE">
        <w:rPr>
          <w:rFonts w:ascii="Times New Roman" w:hAnsi="Times New Roman" w:cs="Times New Roman"/>
          <w:sz w:val="24"/>
          <w:szCs w:val="24"/>
        </w:rPr>
        <w:t xml:space="preserve">there may be other policies that are more </w:t>
      </w:r>
      <w:r w:rsidR="00C518A3" w:rsidRPr="009F3FFE">
        <w:rPr>
          <w:rFonts w:ascii="Times New Roman" w:hAnsi="Times New Roman" w:cs="Times New Roman"/>
          <w:sz w:val="24"/>
          <w:szCs w:val="24"/>
        </w:rPr>
        <w:t>effective in controlling them</w:t>
      </w:r>
      <w:r w:rsidRPr="009F3FFE">
        <w:rPr>
          <w:rFonts w:ascii="Times New Roman" w:hAnsi="Times New Roman" w:cs="Times New Roman"/>
          <w:sz w:val="24"/>
          <w:szCs w:val="24"/>
        </w:rPr>
        <w:t xml:space="preserve"> and involve fewer costs in the short run.</w:t>
      </w:r>
      <w:r w:rsidR="001B5CE0" w:rsidRPr="009F3FFE">
        <w:rPr>
          <w:rFonts w:ascii="Times New Roman" w:hAnsi="Times New Roman" w:cs="Times New Roman"/>
          <w:sz w:val="24"/>
          <w:szCs w:val="24"/>
        </w:rPr>
        <w:t xml:space="preserve">  These include </w:t>
      </w:r>
      <w:r w:rsidR="00C518A3" w:rsidRPr="009F3FFE">
        <w:rPr>
          <w:rFonts w:ascii="Times New Roman" w:hAnsi="Times New Roman" w:cs="Times New Roman"/>
          <w:sz w:val="24"/>
          <w:szCs w:val="24"/>
        </w:rPr>
        <w:t xml:space="preserve">especially </w:t>
      </w:r>
      <w:r w:rsidR="001B5CE0" w:rsidRPr="009F3FFE">
        <w:rPr>
          <w:rFonts w:ascii="Times New Roman" w:hAnsi="Times New Roman" w:cs="Times New Roman"/>
          <w:sz w:val="24"/>
          <w:szCs w:val="24"/>
        </w:rPr>
        <w:t xml:space="preserve">the </w:t>
      </w:r>
      <w:r w:rsidR="00C518A3" w:rsidRPr="009F3FFE">
        <w:rPr>
          <w:rFonts w:ascii="Times New Roman" w:hAnsi="Times New Roman" w:cs="Times New Roman"/>
          <w:sz w:val="24"/>
          <w:szCs w:val="24"/>
        </w:rPr>
        <w:t xml:space="preserve">direct </w:t>
      </w:r>
      <w:r w:rsidR="001B5CE0" w:rsidRPr="009F3FFE">
        <w:rPr>
          <w:rFonts w:ascii="Times New Roman" w:hAnsi="Times New Roman" w:cs="Times New Roman"/>
          <w:sz w:val="24"/>
          <w:szCs w:val="24"/>
        </w:rPr>
        <w:t>control of leverage</w:t>
      </w:r>
      <w:r w:rsidR="005D6CB1">
        <w:rPr>
          <w:rFonts w:ascii="Times New Roman" w:hAnsi="Times New Roman" w:cs="Times New Roman"/>
          <w:sz w:val="24"/>
          <w:szCs w:val="24"/>
        </w:rPr>
        <w:t xml:space="preserve"> through the regulation of </w:t>
      </w:r>
      <w:r w:rsidR="001B5CE0" w:rsidRPr="009F3FFE">
        <w:rPr>
          <w:rFonts w:ascii="Times New Roman" w:hAnsi="Times New Roman" w:cs="Times New Roman"/>
          <w:sz w:val="24"/>
          <w:szCs w:val="24"/>
        </w:rPr>
        <w:t>margin</w:t>
      </w:r>
      <w:r w:rsidR="00670C18">
        <w:rPr>
          <w:rFonts w:ascii="Times New Roman" w:hAnsi="Times New Roman" w:cs="Times New Roman"/>
          <w:sz w:val="24"/>
          <w:szCs w:val="24"/>
        </w:rPr>
        <w:t xml:space="preserve"> limit</w:t>
      </w:r>
      <w:r w:rsidR="001B5CE0" w:rsidRPr="009F3FFE">
        <w:rPr>
          <w:rFonts w:ascii="Times New Roman" w:hAnsi="Times New Roman" w:cs="Times New Roman"/>
          <w:sz w:val="24"/>
          <w:szCs w:val="24"/>
        </w:rPr>
        <w:t xml:space="preserve">s on stock purchases and </w:t>
      </w:r>
      <w:r w:rsidR="00670C18">
        <w:rPr>
          <w:rFonts w:ascii="Times New Roman" w:hAnsi="Times New Roman" w:cs="Times New Roman"/>
          <w:sz w:val="24"/>
          <w:szCs w:val="24"/>
        </w:rPr>
        <w:t xml:space="preserve">minimum </w:t>
      </w:r>
      <w:r w:rsidR="001B5CE0" w:rsidRPr="009F3FFE">
        <w:rPr>
          <w:rFonts w:ascii="Times New Roman" w:hAnsi="Times New Roman" w:cs="Times New Roman"/>
          <w:sz w:val="24"/>
          <w:szCs w:val="24"/>
        </w:rPr>
        <w:t>dow</w:t>
      </w:r>
      <w:r w:rsidR="006D5DA8" w:rsidRPr="009F3FFE">
        <w:rPr>
          <w:rFonts w:ascii="Times New Roman" w:hAnsi="Times New Roman" w:cs="Times New Roman"/>
          <w:sz w:val="24"/>
          <w:szCs w:val="24"/>
        </w:rPr>
        <w:t>n p</w:t>
      </w:r>
      <w:r w:rsidR="00C518A3" w:rsidRPr="009F3FFE">
        <w:rPr>
          <w:rFonts w:ascii="Times New Roman" w:hAnsi="Times New Roman" w:cs="Times New Roman"/>
          <w:sz w:val="24"/>
          <w:szCs w:val="24"/>
        </w:rPr>
        <w:t xml:space="preserve">ayments on housing purchases, </w:t>
      </w:r>
      <w:r w:rsidR="00670C18">
        <w:rPr>
          <w:rFonts w:ascii="Times New Roman" w:hAnsi="Times New Roman" w:cs="Times New Roman"/>
          <w:sz w:val="24"/>
          <w:szCs w:val="24"/>
        </w:rPr>
        <w:t>and</w:t>
      </w:r>
      <w:r w:rsidR="00E131A1">
        <w:rPr>
          <w:rFonts w:ascii="Times New Roman" w:hAnsi="Times New Roman" w:cs="Times New Roman"/>
          <w:sz w:val="24"/>
          <w:szCs w:val="24"/>
        </w:rPr>
        <w:t xml:space="preserve"> the imposition of</w:t>
      </w:r>
      <w:r w:rsidR="006D5DA8" w:rsidRPr="009F3FFE">
        <w:rPr>
          <w:rFonts w:ascii="Times New Roman" w:hAnsi="Times New Roman" w:cs="Times New Roman"/>
          <w:sz w:val="24"/>
          <w:szCs w:val="24"/>
        </w:rPr>
        <w:t xml:space="preserve"> capital requirements in the financial sector </w:t>
      </w:r>
      <w:r w:rsidR="00A35A63">
        <w:rPr>
          <w:rFonts w:ascii="Times New Roman" w:hAnsi="Times New Roman" w:cs="Times New Roman"/>
          <w:sz w:val="24"/>
          <w:szCs w:val="24"/>
        </w:rPr>
        <w:t xml:space="preserve">that are </w:t>
      </w:r>
      <w:r w:rsidRPr="009F3FFE">
        <w:rPr>
          <w:rFonts w:ascii="Times New Roman" w:hAnsi="Times New Roman" w:cs="Times New Roman"/>
          <w:sz w:val="24"/>
          <w:szCs w:val="24"/>
        </w:rPr>
        <w:t xml:space="preserve">both </w:t>
      </w:r>
      <w:r w:rsidR="006D5DA8" w:rsidRPr="009F3FFE">
        <w:rPr>
          <w:rFonts w:ascii="Times New Roman" w:hAnsi="Times New Roman" w:cs="Times New Roman"/>
          <w:sz w:val="24"/>
          <w:szCs w:val="24"/>
        </w:rPr>
        <w:t>counter-cyclical</w:t>
      </w:r>
      <w:r w:rsidRPr="009F3FFE">
        <w:rPr>
          <w:rFonts w:ascii="Times New Roman" w:hAnsi="Times New Roman" w:cs="Times New Roman"/>
          <w:sz w:val="24"/>
          <w:szCs w:val="24"/>
        </w:rPr>
        <w:t xml:space="preserve"> and on average higher. T</w:t>
      </w:r>
      <w:r w:rsidR="001B5CE0" w:rsidRPr="009F3FFE">
        <w:rPr>
          <w:rFonts w:ascii="Times New Roman" w:hAnsi="Times New Roman" w:cs="Times New Roman"/>
          <w:sz w:val="24"/>
          <w:szCs w:val="24"/>
        </w:rPr>
        <w:t xml:space="preserve">he </w:t>
      </w:r>
      <w:r w:rsidRPr="009F3FFE">
        <w:rPr>
          <w:rFonts w:ascii="Times New Roman" w:hAnsi="Times New Roman" w:cs="Times New Roman"/>
          <w:sz w:val="24"/>
          <w:szCs w:val="24"/>
        </w:rPr>
        <w:t xml:space="preserve">study of the </w:t>
      </w:r>
      <w:r w:rsidR="001B5CE0" w:rsidRPr="009F3FFE">
        <w:rPr>
          <w:rFonts w:ascii="Times New Roman" w:hAnsi="Times New Roman" w:cs="Times New Roman"/>
          <w:sz w:val="24"/>
          <w:szCs w:val="24"/>
        </w:rPr>
        <w:t>macroeconomic history and policy of the 1920s</w:t>
      </w:r>
      <w:r w:rsidRPr="009F3FFE">
        <w:rPr>
          <w:rFonts w:ascii="Times New Roman" w:hAnsi="Times New Roman" w:cs="Times New Roman"/>
          <w:sz w:val="24"/>
          <w:szCs w:val="24"/>
        </w:rPr>
        <w:t xml:space="preserve"> is relevant to all of these questions</w:t>
      </w:r>
      <w:r w:rsidR="001B5CE0" w:rsidRPr="009F3FFE">
        <w:rPr>
          <w:rFonts w:ascii="Times New Roman" w:hAnsi="Times New Roman" w:cs="Times New Roman"/>
          <w:sz w:val="24"/>
          <w:szCs w:val="24"/>
        </w:rPr>
        <w:t>.</w:t>
      </w:r>
      <w:r w:rsidR="00256412">
        <w:rPr>
          <w:rFonts w:ascii="Times New Roman" w:hAnsi="Times New Roman" w:cs="Times New Roman"/>
          <w:sz w:val="24"/>
          <w:szCs w:val="24"/>
        </w:rPr>
        <w:t xml:space="preserve">  Since macroeconomics is not an experimental science, and certainly not one involving controlled experiments, there is a particular premium on trying to learn from the experiments provided by history.</w:t>
      </w:r>
    </w:p>
    <w:p w14:paraId="4872973B" w14:textId="4F5A377D" w:rsidR="00773FCE" w:rsidRPr="009F3FFE" w:rsidRDefault="00773FCE" w:rsidP="009F3FFE">
      <w:pPr>
        <w:spacing w:line="480" w:lineRule="auto"/>
        <w:rPr>
          <w:rFonts w:ascii="Times New Roman" w:hAnsi="Times New Roman" w:cs="Times New Roman"/>
          <w:b/>
          <w:sz w:val="24"/>
          <w:szCs w:val="24"/>
        </w:rPr>
      </w:pPr>
      <w:r w:rsidRPr="009F3FFE">
        <w:rPr>
          <w:rFonts w:ascii="Times New Roman" w:hAnsi="Times New Roman" w:cs="Times New Roman"/>
          <w:b/>
          <w:sz w:val="24"/>
          <w:szCs w:val="24"/>
        </w:rPr>
        <w:t>Interest Rates</w:t>
      </w:r>
    </w:p>
    <w:p w14:paraId="38304C6B" w14:textId="79D726F2" w:rsidR="00C23FAD" w:rsidRPr="009F3FFE" w:rsidRDefault="008E04F7">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T</w:t>
      </w:r>
      <w:r w:rsidR="00657D32" w:rsidRPr="009F3FFE">
        <w:rPr>
          <w:rFonts w:ascii="Times New Roman" w:hAnsi="Times New Roman" w:cs="Times New Roman"/>
          <w:sz w:val="24"/>
          <w:szCs w:val="24"/>
        </w:rPr>
        <w:t xml:space="preserve">o assess the applicability of </w:t>
      </w:r>
      <w:r w:rsidRPr="009F3FFE">
        <w:rPr>
          <w:rFonts w:ascii="Times New Roman" w:hAnsi="Times New Roman" w:cs="Times New Roman"/>
          <w:sz w:val="24"/>
          <w:szCs w:val="24"/>
        </w:rPr>
        <w:t>a</w:t>
      </w:r>
      <w:r w:rsidR="009F3FFE">
        <w:rPr>
          <w:rFonts w:ascii="Times New Roman" w:hAnsi="Times New Roman" w:cs="Times New Roman"/>
          <w:sz w:val="24"/>
          <w:szCs w:val="24"/>
        </w:rPr>
        <w:t xml:space="preserve"> Taylor rule </w:t>
      </w:r>
      <w:r w:rsidR="009F3FFE" w:rsidRPr="009F3FFE">
        <w:rPr>
          <w:rFonts w:ascii="Times New Roman" w:hAnsi="Times New Roman" w:cs="Times New Roman"/>
          <w:sz w:val="24"/>
          <w:szCs w:val="24"/>
        </w:rPr>
        <w:t>to the 1920s,</w:t>
      </w:r>
      <w:r w:rsidR="005D6CB1">
        <w:rPr>
          <w:rFonts w:ascii="Times New Roman" w:hAnsi="Times New Roman" w:cs="Times New Roman"/>
          <w:sz w:val="24"/>
          <w:szCs w:val="24"/>
        </w:rPr>
        <w:t xml:space="preserve"> </w:t>
      </w:r>
      <w:r w:rsidR="009F3FFE">
        <w:rPr>
          <w:rFonts w:ascii="Times New Roman" w:hAnsi="Times New Roman" w:cs="Times New Roman"/>
          <w:sz w:val="24"/>
          <w:szCs w:val="24"/>
        </w:rPr>
        <w:t xml:space="preserve">both </w:t>
      </w:r>
      <w:r w:rsidR="00657D32" w:rsidRPr="009F3FFE">
        <w:rPr>
          <w:rFonts w:ascii="Times New Roman" w:hAnsi="Times New Roman" w:cs="Times New Roman"/>
          <w:sz w:val="24"/>
          <w:szCs w:val="24"/>
        </w:rPr>
        <w:t xml:space="preserve">descriptively and prescriptively, </w:t>
      </w:r>
      <w:r w:rsidR="00773FCE" w:rsidRPr="009F3FFE">
        <w:rPr>
          <w:rFonts w:ascii="Times New Roman" w:hAnsi="Times New Roman" w:cs="Times New Roman"/>
          <w:sz w:val="24"/>
          <w:szCs w:val="24"/>
        </w:rPr>
        <w:t xml:space="preserve">we </w:t>
      </w:r>
      <w:r w:rsidR="00C4768D">
        <w:rPr>
          <w:rFonts w:ascii="Times New Roman" w:hAnsi="Times New Roman" w:cs="Times New Roman"/>
          <w:sz w:val="24"/>
          <w:szCs w:val="24"/>
        </w:rPr>
        <w:t xml:space="preserve">will </w:t>
      </w:r>
      <w:r w:rsidR="00773FCE" w:rsidRPr="009F3FFE">
        <w:rPr>
          <w:rFonts w:ascii="Times New Roman" w:hAnsi="Times New Roman" w:cs="Times New Roman"/>
          <w:sz w:val="24"/>
          <w:szCs w:val="24"/>
        </w:rPr>
        <w:t>need data on</w:t>
      </w:r>
      <w:r w:rsidR="00657D32" w:rsidRPr="009F3FFE">
        <w:rPr>
          <w:rFonts w:ascii="Times New Roman" w:hAnsi="Times New Roman" w:cs="Times New Roman"/>
          <w:sz w:val="24"/>
          <w:szCs w:val="24"/>
        </w:rPr>
        <w:t xml:space="preserve"> interest rates, inflation rates, and deviations of actual from potential output (output gaps). </w:t>
      </w:r>
      <w:r w:rsidR="00232ED2">
        <w:rPr>
          <w:rFonts w:ascii="Times New Roman" w:hAnsi="Times New Roman" w:cs="Times New Roman"/>
          <w:sz w:val="24"/>
          <w:szCs w:val="24"/>
        </w:rPr>
        <w:t>I</w:t>
      </w:r>
      <w:r w:rsidR="006D5DA8" w:rsidRPr="009F3FFE">
        <w:rPr>
          <w:rFonts w:ascii="Times New Roman" w:hAnsi="Times New Roman" w:cs="Times New Roman"/>
          <w:sz w:val="24"/>
          <w:szCs w:val="24"/>
        </w:rPr>
        <w:t>n each case</w:t>
      </w:r>
      <w:r w:rsidR="00E41E78">
        <w:rPr>
          <w:rFonts w:ascii="Times New Roman" w:hAnsi="Times New Roman" w:cs="Times New Roman"/>
          <w:sz w:val="24"/>
          <w:szCs w:val="24"/>
        </w:rPr>
        <w:t xml:space="preserve">, and </w:t>
      </w:r>
      <w:r w:rsidR="00D31F5F">
        <w:rPr>
          <w:rFonts w:ascii="Times New Roman" w:hAnsi="Times New Roman" w:cs="Times New Roman"/>
          <w:sz w:val="24"/>
          <w:szCs w:val="24"/>
        </w:rPr>
        <w:t>particularly</w:t>
      </w:r>
      <w:r w:rsidR="00E41E78">
        <w:rPr>
          <w:rFonts w:ascii="Times New Roman" w:hAnsi="Times New Roman" w:cs="Times New Roman"/>
          <w:sz w:val="24"/>
          <w:szCs w:val="24"/>
        </w:rPr>
        <w:t xml:space="preserve"> in the case of estimates of the output gap,</w:t>
      </w:r>
      <w:r w:rsidR="006D5DA8" w:rsidRPr="009F3FFE">
        <w:rPr>
          <w:rFonts w:ascii="Times New Roman" w:hAnsi="Times New Roman" w:cs="Times New Roman"/>
          <w:sz w:val="24"/>
          <w:szCs w:val="24"/>
        </w:rPr>
        <w:t xml:space="preserve"> the selection of data pose</w:t>
      </w:r>
      <w:r w:rsidR="00657D32" w:rsidRPr="009F3FFE">
        <w:rPr>
          <w:rFonts w:ascii="Times New Roman" w:hAnsi="Times New Roman" w:cs="Times New Roman"/>
          <w:sz w:val="24"/>
          <w:szCs w:val="24"/>
        </w:rPr>
        <w:t>s challen</w:t>
      </w:r>
      <w:r w:rsidR="006D5DA8" w:rsidRPr="009F3FFE">
        <w:rPr>
          <w:rFonts w:ascii="Times New Roman" w:hAnsi="Times New Roman" w:cs="Times New Roman"/>
          <w:sz w:val="24"/>
          <w:szCs w:val="24"/>
        </w:rPr>
        <w:t>ges.</w:t>
      </w:r>
      <w:r w:rsidR="00657D32" w:rsidRPr="009F3FFE">
        <w:rPr>
          <w:rFonts w:ascii="Times New Roman" w:hAnsi="Times New Roman" w:cs="Times New Roman"/>
          <w:sz w:val="24"/>
          <w:szCs w:val="24"/>
        </w:rPr>
        <w:t xml:space="preserve">  </w:t>
      </w:r>
      <w:r w:rsidR="00C518A3" w:rsidRPr="009F3FFE">
        <w:rPr>
          <w:rFonts w:ascii="Times New Roman" w:hAnsi="Times New Roman" w:cs="Times New Roman"/>
          <w:sz w:val="24"/>
          <w:szCs w:val="24"/>
        </w:rPr>
        <w:t>I</w:t>
      </w:r>
      <w:r w:rsidR="009F3FFE">
        <w:rPr>
          <w:rFonts w:ascii="Times New Roman" w:hAnsi="Times New Roman" w:cs="Times New Roman"/>
          <w:sz w:val="24"/>
          <w:szCs w:val="24"/>
        </w:rPr>
        <w:t xml:space="preserve"> </w:t>
      </w:r>
      <w:r w:rsidR="00657D32" w:rsidRPr="009F3FFE">
        <w:rPr>
          <w:rFonts w:ascii="Times New Roman" w:hAnsi="Times New Roman" w:cs="Times New Roman"/>
          <w:sz w:val="24"/>
          <w:szCs w:val="24"/>
        </w:rPr>
        <w:t xml:space="preserve">begin with interest </w:t>
      </w:r>
      <w:r w:rsidR="00C518A3" w:rsidRPr="009F3FFE">
        <w:rPr>
          <w:rFonts w:ascii="Times New Roman" w:hAnsi="Times New Roman" w:cs="Times New Roman"/>
          <w:sz w:val="24"/>
          <w:szCs w:val="24"/>
        </w:rPr>
        <w:t>r</w:t>
      </w:r>
      <w:r w:rsidR="00657D32" w:rsidRPr="009F3FFE">
        <w:rPr>
          <w:rFonts w:ascii="Times New Roman" w:hAnsi="Times New Roman" w:cs="Times New Roman"/>
          <w:sz w:val="24"/>
          <w:szCs w:val="24"/>
        </w:rPr>
        <w:t>ates.</w:t>
      </w:r>
    </w:p>
    <w:p w14:paraId="5AB39A2F" w14:textId="782494D3" w:rsidR="0084564A" w:rsidRPr="009F3FFE" w:rsidRDefault="006D5DA8" w:rsidP="009F3FF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lastRenderedPageBreak/>
        <w:t>In the 1920s, the principal</w:t>
      </w:r>
      <w:r w:rsidR="00657D32" w:rsidRPr="009F3FFE">
        <w:rPr>
          <w:rFonts w:ascii="Times New Roman" w:hAnsi="Times New Roman" w:cs="Times New Roman"/>
          <w:sz w:val="24"/>
          <w:szCs w:val="24"/>
        </w:rPr>
        <w:t xml:space="preserve"> instrument of</w:t>
      </w:r>
      <w:r w:rsidR="00773FCE" w:rsidRPr="009F3FFE">
        <w:rPr>
          <w:rFonts w:ascii="Times New Roman" w:hAnsi="Times New Roman" w:cs="Times New Roman"/>
          <w:sz w:val="24"/>
          <w:szCs w:val="24"/>
        </w:rPr>
        <w:t xml:space="preserve"> Federal Reserve</w:t>
      </w:r>
      <w:r w:rsidR="00657D32" w:rsidRPr="009F3FFE">
        <w:rPr>
          <w:rFonts w:ascii="Times New Roman" w:hAnsi="Times New Roman" w:cs="Times New Roman"/>
          <w:sz w:val="24"/>
          <w:szCs w:val="24"/>
        </w:rPr>
        <w:t xml:space="preserve"> monetary control was the disco</w:t>
      </w:r>
      <w:r w:rsidR="00C62B54" w:rsidRPr="009F3FFE">
        <w:rPr>
          <w:rFonts w:ascii="Times New Roman" w:hAnsi="Times New Roman" w:cs="Times New Roman"/>
          <w:sz w:val="24"/>
          <w:szCs w:val="24"/>
        </w:rPr>
        <w:t xml:space="preserve">unt rate, the rate that member </w:t>
      </w:r>
      <w:r w:rsidR="00773FCE" w:rsidRPr="009F3FFE">
        <w:rPr>
          <w:rFonts w:ascii="Times New Roman" w:hAnsi="Times New Roman" w:cs="Times New Roman"/>
          <w:sz w:val="24"/>
          <w:szCs w:val="24"/>
        </w:rPr>
        <w:t>banks paid</w:t>
      </w:r>
      <w:r w:rsidR="009F3FFE">
        <w:rPr>
          <w:rFonts w:ascii="Times New Roman" w:hAnsi="Times New Roman" w:cs="Times New Roman"/>
          <w:sz w:val="24"/>
          <w:szCs w:val="24"/>
        </w:rPr>
        <w:t xml:space="preserve"> </w:t>
      </w:r>
      <w:r w:rsidR="00657D32" w:rsidRPr="009F3FFE">
        <w:rPr>
          <w:rFonts w:ascii="Times New Roman" w:hAnsi="Times New Roman" w:cs="Times New Roman"/>
          <w:sz w:val="24"/>
          <w:szCs w:val="24"/>
        </w:rPr>
        <w:t>to obtain additional reserves (high powered money) through the sale</w:t>
      </w:r>
      <w:r w:rsidR="00773FCE" w:rsidRPr="009F3FFE">
        <w:rPr>
          <w:rFonts w:ascii="Times New Roman" w:hAnsi="Times New Roman" w:cs="Times New Roman"/>
          <w:sz w:val="24"/>
          <w:szCs w:val="24"/>
        </w:rPr>
        <w:t xml:space="preserve"> (discounting)</w:t>
      </w:r>
      <w:r w:rsidR="00657D32" w:rsidRPr="009F3FFE">
        <w:rPr>
          <w:rFonts w:ascii="Times New Roman" w:hAnsi="Times New Roman" w:cs="Times New Roman"/>
          <w:sz w:val="24"/>
          <w:szCs w:val="24"/>
        </w:rPr>
        <w:t xml:space="preserve"> of eligible </w:t>
      </w:r>
      <w:r w:rsidR="005B5865">
        <w:rPr>
          <w:rFonts w:ascii="Times New Roman" w:hAnsi="Times New Roman" w:cs="Times New Roman"/>
          <w:sz w:val="24"/>
          <w:szCs w:val="24"/>
        </w:rPr>
        <w:t>paper to the central bank</w:t>
      </w:r>
      <w:r w:rsidR="00657D32" w:rsidRPr="009F3FFE">
        <w:rPr>
          <w:rFonts w:ascii="Times New Roman" w:hAnsi="Times New Roman" w:cs="Times New Roman"/>
          <w:sz w:val="24"/>
          <w:szCs w:val="24"/>
        </w:rPr>
        <w:t xml:space="preserve">.  </w:t>
      </w:r>
      <w:r w:rsidR="004E03A1" w:rsidRPr="009F3FFE">
        <w:rPr>
          <w:rFonts w:ascii="Times New Roman" w:hAnsi="Times New Roman" w:cs="Times New Roman"/>
          <w:sz w:val="24"/>
          <w:szCs w:val="24"/>
        </w:rPr>
        <w:t>As figure 1 show</w:t>
      </w:r>
      <w:r w:rsidR="0065490B">
        <w:rPr>
          <w:rFonts w:ascii="Times New Roman" w:hAnsi="Times New Roman" w:cs="Times New Roman"/>
          <w:sz w:val="24"/>
          <w:szCs w:val="24"/>
        </w:rPr>
        <w:t>s</w:t>
      </w:r>
      <w:r w:rsidR="004E03A1" w:rsidRPr="009F3FFE">
        <w:rPr>
          <w:rFonts w:ascii="Times New Roman" w:hAnsi="Times New Roman" w:cs="Times New Roman"/>
          <w:sz w:val="24"/>
          <w:szCs w:val="24"/>
        </w:rPr>
        <w:t>, the</w:t>
      </w:r>
      <w:r w:rsidR="00767ABB">
        <w:rPr>
          <w:rFonts w:ascii="Times New Roman" w:hAnsi="Times New Roman" w:cs="Times New Roman"/>
          <w:sz w:val="24"/>
          <w:szCs w:val="24"/>
        </w:rPr>
        <w:t xml:space="preserve"> </w:t>
      </w:r>
      <w:r w:rsidR="0065490B">
        <w:rPr>
          <w:rFonts w:ascii="Times New Roman" w:hAnsi="Times New Roman" w:cs="Times New Roman"/>
          <w:sz w:val="24"/>
          <w:szCs w:val="24"/>
        </w:rPr>
        <w:t xml:space="preserve">New York Fed </w:t>
      </w:r>
      <w:r w:rsidR="00767ABB">
        <w:rPr>
          <w:rFonts w:ascii="Times New Roman" w:hAnsi="Times New Roman" w:cs="Times New Roman"/>
          <w:sz w:val="24"/>
          <w:szCs w:val="24"/>
        </w:rPr>
        <w:t>discount rate appears to have e</w:t>
      </w:r>
      <w:r w:rsidR="00C62B54" w:rsidRPr="009F3FFE">
        <w:rPr>
          <w:rFonts w:ascii="Times New Roman" w:hAnsi="Times New Roman" w:cs="Times New Roman"/>
          <w:sz w:val="24"/>
          <w:szCs w:val="24"/>
        </w:rPr>
        <w:t>xercised a stron</w:t>
      </w:r>
      <w:r w:rsidR="00773FCE" w:rsidRPr="009F3FFE">
        <w:rPr>
          <w:rFonts w:ascii="Times New Roman" w:hAnsi="Times New Roman" w:cs="Times New Roman"/>
          <w:sz w:val="24"/>
          <w:szCs w:val="24"/>
        </w:rPr>
        <w:t>g influence on short term</w:t>
      </w:r>
      <w:r w:rsidR="00C62B54" w:rsidRPr="009F3FFE">
        <w:rPr>
          <w:rFonts w:ascii="Times New Roman" w:hAnsi="Times New Roman" w:cs="Times New Roman"/>
          <w:sz w:val="24"/>
          <w:szCs w:val="24"/>
        </w:rPr>
        <w:t xml:space="preserve"> rates in the New York money market.  An individual</w:t>
      </w:r>
      <w:r w:rsidR="008E04F7" w:rsidRPr="009F3FFE">
        <w:rPr>
          <w:rFonts w:ascii="Times New Roman" w:hAnsi="Times New Roman" w:cs="Times New Roman"/>
          <w:sz w:val="24"/>
          <w:szCs w:val="24"/>
        </w:rPr>
        <w:t>, nonfinancial corporation, or financial institution w</w:t>
      </w:r>
      <w:r w:rsidR="00C62B54" w:rsidRPr="009F3FFE">
        <w:rPr>
          <w:rFonts w:ascii="Times New Roman" w:hAnsi="Times New Roman" w:cs="Times New Roman"/>
          <w:sz w:val="24"/>
          <w:szCs w:val="24"/>
        </w:rPr>
        <w:t>ith money to loan</w:t>
      </w:r>
      <w:r w:rsidR="0017684D">
        <w:rPr>
          <w:rFonts w:ascii="Times New Roman" w:hAnsi="Times New Roman" w:cs="Times New Roman"/>
          <w:sz w:val="24"/>
          <w:szCs w:val="24"/>
        </w:rPr>
        <w:t xml:space="preserve"> short term</w:t>
      </w:r>
      <w:r w:rsidR="005D6CB1">
        <w:rPr>
          <w:rFonts w:ascii="Times New Roman" w:hAnsi="Times New Roman" w:cs="Times New Roman"/>
          <w:sz w:val="24"/>
          <w:szCs w:val="24"/>
        </w:rPr>
        <w:t xml:space="preserve"> in </w:t>
      </w:r>
      <w:r w:rsidR="009F3FFE">
        <w:rPr>
          <w:rFonts w:ascii="Times New Roman" w:hAnsi="Times New Roman" w:cs="Times New Roman"/>
          <w:sz w:val="24"/>
          <w:szCs w:val="24"/>
        </w:rPr>
        <w:t>open markets</w:t>
      </w:r>
      <w:r w:rsidR="005D6CB1">
        <w:rPr>
          <w:rFonts w:ascii="Times New Roman" w:hAnsi="Times New Roman" w:cs="Times New Roman"/>
          <w:sz w:val="24"/>
          <w:szCs w:val="24"/>
        </w:rPr>
        <w:t xml:space="preserve"> </w:t>
      </w:r>
      <w:r w:rsidR="001C5F55" w:rsidRPr="009F3FFE">
        <w:rPr>
          <w:rFonts w:ascii="Times New Roman" w:hAnsi="Times New Roman" w:cs="Times New Roman"/>
          <w:sz w:val="24"/>
          <w:szCs w:val="24"/>
        </w:rPr>
        <w:t>had five</w:t>
      </w:r>
      <w:r w:rsidR="00C62B54" w:rsidRPr="009F3FFE">
        <w:rPr>
          <w:rFonts w:ascii="Times New Roman" w:hAnsi="Times New Roman" w:cs="Times New Roman"/>
          <w:sz w:val="24"/>
          <w:szCs w:val="24"/>
        </w:rPr>
        <w:t xml:space="preserve"> basic options</w:t>
      </w:r>
      <w:r w:rsidR="008E04F7" w:rsidRPr="009F3FFE">
        <w:rPr>
          <w:rFonts w:ascii="Times New Roman" w:hAnsi="Times New Roman" w:cs="Times New Roman"/>
          <w:sz w:val="24"/>
          <w:szCs w:val="24"/>
        </w:rPr>
        <w:t xml:space="preserve"> in the 1920s</w:t>
      </w:r>
      <w:r w:rsidR="0017684D">
        <w:rPr>
          <w:rFonts w:ascii="Times New Roman" w:hAnsi="Times New Roman" w:cs="Times New Roman"/>
          <w:sz w:val="24"/>
          <w:szCs w:val="24"/>
        </w:rPr>
        <w:t xml:space="preserve">:   Treasury bills </w:t>
      </w:r>
      <w:r w:rsidR="009F3FFE">
        <w:rPr>
          <w:rFonts w:ascii="Times New Roman" w:hAnsi="Times New Roman" w:cs="Times New Roman"/>
          <w:sz w:val="24"/>
          <w:szCs w:val="24"/>
        </w:rPr>
        <w:t>(</w:t>
      </w:r>
      <w:r w:rsidR="00C62B54" w:rsidRPr="009F3FFE">
        <w:rPr>
          <w:rFonts w:ascii="Times New Roman" w:hAnsi="Times New Roman" w:cs="Times New Roman"/>
          <w:sz w:val="24"/>
          <w:szCs w:val="24"/>
        </w:rPr>
        <w:t>the safest</w:t>
      </w:r>
      <w:r w:rsidR="009F3FFE">
        <w:rPr>
          <w:rFonts w:ascii="Times New Roman" w:hAnsi="Times New Roman" w:cs="Times New Roman"/>
          <w:sz w:val="24"/>
          <w:szCs w:val="24"/>
        </w:rPr>
        <w:t>)</w:t>
      </w:r>
      <w:r w:rsidR="001C5F55" w:rsidRPr="009F3FFE">
        <w:rPr>
          <w:rFonts w:ascii="Times New Roman" w:hAnsi="Times New Roman" w:cs="Times New Roman"/>
          <w:sz w:val="24"/>
          <w:szCs w:val="24"/>
        </w:rPr>
        <w:t>, commercial paper, bankers</w:t>
      </w:r>
      <w:r w:rsidR="0065490B">
        <w:rPr>
          <w:rFonts w:ascii="Times New Roman" w:hAnsi="Times New Roman" w:cs="Times New Roman"/>
          <w:sz w:val="24"/>
          <w:szCs w:val="24"/>
        </w:rPr>
        <w:t>’</w:t>
      </w:r>
      <w:r w:rsidR="001C5F55" w:rsidRPr="009F3FFE">
        <w:rPr>
          <w:rFonts w:ascii="Times New Roman" w:hAnsi="Times New Roman" w:cs="Times New Roman"/>
          <w:sz w:val="24"/>
          <w:szCs w:val="24"/>
        </w:rPr>
        <w:t xml:space="preserve"> acceptances, demand</w:t>
      </w:r>
      <w:r w:rsidR="00256412">
        <w:rPr>
          <w:rFonts w:ascii="Times New Roman" w:hAnsi="Times New Roman" w:cs="Times New Roman"/>
          <w:sz w:val="24"/>
          <w:szCs w:val="24"/>
        </w:rPr>
        <w:t xml:space="preserve"> or call</w:t>
      </w:r>
      <w:r w:rsidR="001C5F55" w:rsidRPr="009F3FFE">
        <w:rPr>
          <w:rFonts w:ascii="Times New Roman" w:hAnsi="Times New Roman" w:cs="Times New Roman"/>
          <w:sz w:val="24"/>
          <w:szCs w:val="24"/>
        </w:rPr>
        <w:t xml:space="preserve"> loans on collateral (generally stocks), or time loans on collateral (Hubbard, 1920, p. 23).  </w:t>
      </w:r>
      <w:r w:rsidR="00C518A3" w:rsidRPr="009F3FFE">
        <w:rPr>
          <w:rFonts w:ascii="Times New Roman" w:hAnsi="Times New Roman" w:cs="Times New Roman"/>
          <w:sz w:val="24"/>
          <w:szCs w:val="24"/>
        </w:rPr>
        <w:t>As figure 1 shows, t</w:t>
      </w:r>
      <w:r w:rsidR="001C5F55" w:rsidRPr="009F3FFE">
        <w:rPr>
          <w:rFonts w:ascii="Times New Roman" w:hAnsi="Times New Roman" w:cs="Times New Roman"/>
          <w:sz w:val="24"/>
          <w:szCs w:val="24"/>
        </w:rPr>
        <w:t>hese rates covaried</w:t>
      </w:r>
      <w:r w:rsidR="00773FCE" w:rsidRPr="009F3FFE">
        <w:rPr>
          <w:rFonts w:ascii="Times New Roman" w:hAnsi="Times New Roman" w:cs="Times New Roman"/>
          <w:sz w:val="24"/>
          <w:szCs w:val="24"/>
        </w:rPr>
        <w:t xml:space="preserve"> closely</w:t>
      </w:r>
      <w:r w:rsidR="005D6CB1">
        <w:rPr>
          <w:rFonts w:ascii="Times New Roman" w:hAnsi="Times New Roman" w:cs="Times New Roman"/>
          <w:sz w:val="24"/>
          <w:szCs w:val="24"/>
        </w:rPr>
        <w:t xml:space="preserve"> with each other</w:t>
      </w:r>
      <w:r w:rsidR="009F3FFE">
        <w:rPr>
          <w:rFonts w:ascii="Times New Roman" w:hAnsi="Times New Roman" w:cs="Times New Roman"/>
          <w:sz w:val="24"/>
          <w:szCs w:val="24"/>
        </w:rPr>
        <w:t xml:space="preserve"> </w:t>
      </w:r>
      <w:r w:rsidR="0017684D">
        <w:rPr>
          <w:rFonts w:ascii="Times New Roman" w:hAnsi="Times New Roman" w:cs="Times New Roman"/>
          <w:sz w:val="24"/>
          <w:szCs w:val="24"/>
        </w:rPr>
        <w:t xml:space="preserve">and with the discount rate. </w:t>
      </w:r>
      <w:r w:rsidR="001C5F55" w:rsidRPr="009F3FFE">
        <w:rPr>
          <w:rFonts w:ascii="Times New Roman" w:hAnsi="Times New Roman" w:cs="Times New Roman"/>
          <w:sz w:val="24"/>
          <w:szCs w:val="24"/>
        </w:rPr>
        <w:t>Figure 1 displays month</w:t>
      </w:r>
      <w:r w:rsidR="002E6947">
        <w:rPr>
          <w:rFonts w:ascii="Times New Roman" w:hAnsi="Times New Roman" w:cs="Times New Roman"/>
          <w:sz w:val="24"/>
          <w:szCs w:val="24"/>
        </w:rPr>
        <w:t>ly values of the</w:t>
      </w:r>
      <w:r w:rsidR="0065490B">
        <w:rPr>
          <w:rFonts w:ascii="Times New Roman" w:hAnsi="Times New Roman" w:cs="Times New Roman"/>
          <w:sz w:val="24"/>
          <w:szCs w:val="24"/>
        </w:rPr>
        <w:t xml:space="preserve"> NYFED</w:t>
      </w:r>
      <w:r w:rsidR="002E6947">
        <w:rPr>
          <w:rFonts w:ascii="Times New Roman" w:hAnsi="Times New Roman" w:cs="Times New Roman"/>
          <w:sz w:val="24"/>
          <w:szCs w:val="24"/>
        </w:rPr>
        <w:t xml:space="preserve"> dis</w:t>
      </w:r>
      <w:r w:rsidR="0066684F">
        <w:rPr>
          <w:rFonts w:ascii="Times New Roman" w:hAnsi="Times New Roman" w:cs="Times New Roman"/>
          <w:sz w:val="24"/>
          <w:szCs w:val="24"/>
        </w:rPr>
        <w:t>count rate and short</w:t>
      </w:r>
      <w:r w:rsidR="002E6947">
        <w:rPr>
          <w:rFonts w:ascii="Times New Roman" w:hAnsi="Times New Roman" w:cs="Times New Roman"/>
          <w:sz w:val="24"/>
          <w:szCs w:val="24"/>
        </w:rPr>
        <w:t xml:space="preserve"> term private sector rates: </w:t>
      </w:r>
      <w:r w:rsidR="001C5F55" w:rsidRPr="009F3FFE">
        <w:rPr>
          <w:rFonts w:ascii="Times New Roman" w:hAnsi="Times New Roman" w:cs="Times New Roman"/>
          <w:sz w:val="24"/>
          <w:szCs w:val="24"/>
        </w:rPr>
        <w:t>the r</w:t>
      </w:r>
      <w:r w:rsidR="006417BB" w:rsidRPr="009F3FFE">
        <w:rPr>
          <w:rFonts w:ascii="Times New Roman" w:hAnsi="Times New Roman" w:cs="Times New Roman"/>
          <w:sz w:val="24"/>
          <w:szCs w:val="24"/>
        </w:rPr>
        <w:t>ate on bankers</w:t>
      </w:r>
      <w:r w:rsidR="008E04F7" w:rsidRPr="009F3FFE">
        <w:rPr>
          <w:rFonts w:ascii="Times New Roman" w:hAnsi="Times New Roman" w:cs="Times New Roman"/>
          <w:sz w:val="24"/>
          <w:szCs w:val="24"/>
        </w:rPr>
        <w:t>’</w:t>
      </w:r>
      <w:r w:rsidR="006417BB" w:rsidRPr="009F3FFE">
        <w:rPr>
          <w:rFonts w:ascii="Times New Roman" w:hAnsi="Times New Roman" w:cs="Times New Roman"/>
          <w:sz w:val="24"/>
          <w:szCs w:val="24"/>
        </w:rPr>
        <w:t xml:space="preserve"> acceptances, the call money rate, and the rate on 4 to 6 month commercial paper. </w:t>
      </w:r>
      <w:r w:rsidR="0084564A" w:rsidRPr="009F3FFE">
        <w:rPr>
          <w:rFonts w:ascii="Times New Roman" w:hAnsi="Times New Roman" w:cs="Times New Roman"/>
          <w:sz w:val="24"/>
          <w:szCs w:val="24"/>
        </w:rPr>
        <w:t xml:space="preserve"> The rate on bankers</w:t>
      </w:r>
      <w:r w:rsidR="008E04F7" w:rsidRPr="009F3FFE">
        <w:rPr>
          <w:rFonts w:ascii="Times New Roman" w:hAnsi="Times New Roman" w:cs="Times New Roman"/>
          <w:sz w:val="24"/>
          <w:szCs w:val="24"/>
        </w:rPr>
        <w:t>’</w:t>
      </w:r>
      <w:r w:rsidR="0084564A" w:rsidRPr="009F3FFE">
        <w:rPr>
          <w:rFonts w:ascii="Times New Roman" w:hAnsi="Times New Roman" w:cs="Times New Roman"/>
          <w:sz w:val="24"/>
          <w:szCs w:val="24"/>
        </w:rPr>
        <w:t xml:space="preserve"> acceptances (which can be thought of as postdated checks whose payment has been certified or guaranteed by the account holder’s financial institution) tended to run a little bit below the discount rate.  The 4 to 6 month commercial paper rate tended to be a little bit above the</w:t>
      </w:r>
      <w:r w:rsidR="00773FCE" w:rsidRPr="009F3FFE">
        <w:rPr>
          <w:rFonts w:ascii="Times New Roman" w:hAnsi="Times New Roman" w:cs="Times New Roman"/>
          <w:sz w:val="24"/>
          <w:szCs w:val="24"/>
        </w:rPr>
        <w:t xml:space="preserve"> policy rate, reflecting a </w:t>
      </w:r>
      <w:r w:rsidR="0084564A" w:rsidRPr="009F3FFE">
        <w:rPr>
          <w:rFonts w:ascii="Times New Roman" w:hAnsi="Times New Roman" w:cs="Times New Roman"/>
          <w:sz w:val="24"/>
          <w:szCs w:val="24"/>
        </w:rPr>
        <w:t xml:space="preserve">premium associated with the default risk of the corporations issuing it. The call money rate was the most volatile, generally above but sometimes below the discount rate, reflecting the varying perceptions of risk associated with </w:t>
      </w:r>
      <w:r w:rsidR="00C518A3" w:rsidRPr="009F3FFE">
        <w:rPr>
          <w:rFonts w:ascii="Times New Roman" w:hAnsi="Times New Roman" w:cs="Times New Roman"/>
          <w:sz w:val="24"/>
          <w:szCs w:val="24"/>
        </w:rPr>
        <w:t xml:space="preserve">collateralized </w:t>
      </w:r>
      <w:r w:rsidR="0084564A" w:rsidRPr="009F3FFE">
        <w:rPr>
          <w:rFonts w:ascii="Times New Roman" w:hAnsi="Times New Roman" w:cs="Times New Roman"/>
          <w:sz w:val="24"/>
          <w:szCs w:val="24"/>
        </w:rPr>
        <w:t>lending to those</w:t>
      </w:r>
      <w:r w:rsidR="0017684D">
        <w:rPr>
          <w:rFonts w:ascii="Times New Roman" w:hAnsi="Times New Roman" w:cs="Times New Roman"/>
          <w:sz w:val="24"/>
          <w:szCs w:val="24"/>
        </w:rPr>
        <w:t xml:space="preserve"> acquiring stocks on margin.  </w:t>
      </w:r>
      <w:r w:rsidR="0084564A" w:rsidRPr="009F3FFE">
        <w:rPr>
          <w:rFonts w:ascii="Times New Roman" w:hAnsi="Times New Roman" w:cs="Times New Roman"/>
          <w:sz w:val="24"/>
          <w:szCs w:val="24"/>
        </w:rPr>
        <w:t xml:space="preserve">Because of their close covariation with the discount rate, and because the latter was the policy rate, I will use the </w:t>
      </w:r>
      <w:r w:rsidR="007F56EA">
        <w:rPr>
          <w:rFonts w:ascii="Times New Roman" w:hAnsi="Times New Roman" w:cs="Times New Roman"/>
          <w:sz w:val="24"/>
          <w:szCs w:val="24"/>
        </w:rPr>
        <w:t xml:space="preserve">New York Fed </w:t>
      </w:r>
      <w:r w:rsidR="0084564A" w:rsidRPr="009F3FFE">
        <w:rPr>
          <w:rFonts w:ascii="Times New Roman" w:hAnsi="Times New Roman" w:cs="Times New Roman"/>
          <w:sz w:val="24"/>
          <w:szCs w:val="24"/>
        </w:rPr>
        <w:t xml:space="preserve">discount rate series in my comparisons with </w:t>
      </w:r>
      <w:r w:rsidR="0065490B">
        <w:rPr>
          <w:rFonts w:ascii="Times New Roman" w:hAnsi="Times New Roman" w:cs="Times New Roman"/>
          <w:sz w:val="24"/>
          <w:szCs w:val="24"/>
        </w:rPr>
        <w:t xml:space="preserve">policy </w:t>
      </w:r>
      <w:r w:rsidR="0084564A" w:rsidRPr="009F3FFE">
        <w:rPr>
          <w:rFonts w:ascii="Times New Roman" w:hAnsi="Times New Roman" w:cs="Times New Roman"/>
          <w:sz w:val="24"/>
          <w:szCs w:val="24"/>
        </w:rPr>
        <w:t xml:space="preserve">rates </w:t>
      </w:r>
      <w:r w:rsidR="0065490B">
        <w:rPr>
          <w:rFonts w:ascii="Times New Roman" w:hAnsi="Times New Roman" w:cs="Times New Roman"/>
          <w:sz w:val="24"/>
          <w:szCs w:val="24"/>
        </w:rPr>
        <w:t xml:space="preserve">that might have been </w:t>
      </w:r>
      <w:r w:rsidR="0084564A" w:rsidRPr="009F3FFE">
        <w:rPr>
          <w:rFonts w:ascii="Times New Roman" w:hAnsi="Times New Roman" w:cs="Times New Roman"/>
          <w:sz w:val="24"/>
          <w:szCs w:val="24"/>
        </w:rPr>
        <w:t>prescribed by a Taylor rule.</w:t>
      </w:r>
    </w:p>
    <w:p w14:paraId="5983416E" w14:textId="46000C7A" w:rsidR="0084564A" w:rsidRPr="009F3FFE" w:rsidRDefault="0084564A" w:rsidP="009F3FFE">
      <w:pPr>
        <w:spacing w:line="480" w:lineRule="auto"/>
        <w:ind w:firstLine="576"/>
        <w:rPr>
          <w:rFonts w:ascii="Times New Roman" w:hAnsi="Times New Roman" w:cs="Times New Roman"/>
          <w:sz w:val="24"/>
          <w:szCs w:val="24"/>
        </w:rPr>
      </w:pPr>
      <w:r w:rsidRPr="009F3FFE">
        <w:rPr>
          <w:rFonts w:ascii="Times New Roman" w:hAnsi="Times New Roman" w:cs="Times New Roman"/>
          <w:noProof/>
          <w:sz w:val="24"/>
          <w:szCs w:val="24"/>
        </w:rPr>
        <w:lastRenderedPageBreak/>
        <w:drawing>
          <wp:inline distT="0" distB="0" distL="0" distR="0" wp14:anchorId="0AEB8D99" wp14:editId="22480668">
            <wp:extent cx="5943600" cy="4171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1C4D17F" w14:textId="2B7B6BEB" w:rsidR="004E03A1" w:rsidRDefault="005D6CB1" w:rsidP="00FE4CE3">
      <w:pPr>
        <w:rPr>
          <w:rFonts w:ascii="Times New Roman" w:hAnsi="Times New Roman" w:cs="Times New Roman"/>
          <w:sz w:val="24"/>
          <w:szCs w:val="24"/>
        </w:rPr>
      </w:pPr>
      <w:r w:rsidRPr="00FE4CE3">
        <w:rPr>
          <w:rFonts w:ascii="Times New Roman" w:hAnsi="Times New Roman" w:cs="Times New Roman"/>
          <w:sz w:val="24"/>
          <w:szCs w:val="24"/>
        </w:rPr>
        <w:t>Source:  FRED database</w:t>
      </w:r>
      <w:r w:rsidR="00E97D9D" w:rsidRPr="00FE4CE3">
        <w:rPr>
          <w:rFonts w:ascii="Times New Roman" w:hAnsi="Times New Roman" w:cs="Times New Roman"/>
          <w:b/>
          <w:sz w:val="24"/>
          <w:szCs w:val="24"/>
        </w:rPr>
        <w:t xml:space="preserve">. </w:t>
      </w:r>
      <w:r w:rsidR="00E97D9D" w:rsidRPr="00FE4CE3">
        <w:rPr>
          <w:rFonts w:ascii="Times New Roman" w:hAnsi="Times New Roman" w:cs="Times New Roman"/>
          <w:sz w:val="24"/>
          <w:szCs w:val="24"/>
        </w:rPr>
        <w:t xml:space="preserve">Discount rate series is for the New York Fed, not seasonally adjusted: series </w:t>
      </w:r>
      <w:r w:rsidR="00E97D9D" w:rsidRPr="00FE4CE3">
        <w:rPr>
          <w:rFonts w:ascii="Times New Roman" w:eastAsia="Times New Roman" w:hAnsi="Times New Roman" w:cs="Times New Roman"/>
          <w:sz w:val="20"/>
          <w:szCs w:val="20"/>
        </w:rPr>
        <w:t>M13009USM156NNBR</w:t>
      </w:r>
      <w:r w:rsidR="00A96D6D" w:rsidRPr="00FE4CE3">
        <w:rPr>
          <w:rFonts w:ascii="Times New Roman" w:hAnsi="Times New Roman" w:cs="Times New Roman"/>
          <w:sz w:val="24"/>
          <w:szCs w:val="24"/>
        </w:rPr>
        <w:t>.</w:t>
      </w:r>
      <w:r w:rsidR="00E97D9D" w:rsidRPr="00FE4CE3">
        <w:rPr>
          <w:rFonts w:ascii="Times New Roman" w:hAnsi="Times New Roman" w:cs="Times New Roman"/>
          <w:sz w:val="24"/>
          <w:szCs w:val="24"/>
        </w:rPr>
        <w:t xml:space="preserve"> Accessed May 17, 2015</w:t>
      </w:r>
    </w:p>
    <w:p w14:paraId="40974868" w14:textId="77777777" w:rsidR="00C5344E" w:rsidRPr="00FE4CE3" w:rsidRDefault="00C5344E" w:rsidP="00FE4CE3">
      <w:pPr>
        <w:rPr>
          <w:rFonts w:ascii="Times New Roman" w:hAnsi="Times New Roman" w:cs="Times New Roman"/>
          <w:sz w:val="24"/>
          <w:szCs w:val="24"/>
        </w:rPr>
      </w:pPr>
    </w:p>
    <w:p w14:paraId="13F799FF" w14:textId="77777777" w:rsidR="00773FCE" w:rsidRPr="009F3FFE" w:rsidRDefault="00773FCE" w:rsidP="009F3FFE">
      <w:pPr>
        <w:spacing w:line="480" w:lineRule="auto"/>
        <w:rPr>
          <w:rFonts w:ascii="Times New Roman" w:hAnsi="Times New Roman" w:cs="Times New Roman"/>
          <w:b/>
          <w:sz w:val="24"/>
          <w:szCs w:val="24"/>
        </w:rPr>
      </w:pPr>
      <w:r w:rsidRPr="009F3FFE">
        <w:rPr>
          <w:rFonts w:ascii="Times New Roman" w:hAnsi="Times New Roman" w:cs="Times New Roman"/>
          <w:b/>
          <w:sz w:val="24"/>
          <w:szCs w:val="24"/>
        </w:rPr>
        <w:t>Output Gaps</w:t>
      </w:r>
    </w:p>
    <w:p w14:paraId="1502622A" w14:textId="335A068B" w:rsidR="0099387D" w:rsidRDefault="0099387D" w:rsidP="0099387D">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 xml:space="preserve">The </w:t>
      </w:r>
      <w:r w:rsidR="00ED75F0">
        <w:rPr>
          <w:rFonts w:ascii="Times New Roman" w:hAnsi="Times New Roman" w:cs="Times New Roman"/>
          <w:sz w:val="24"/>
          <w:szCs w:val="24"/>
        </w:rPr>
        <w:t>most challenging and possibly most controversial</w:t>
      </w:r>
      <w:r w:rsidR="0065490B">
        <w:rPr>
          <w:rFonts w:ascii="Times New Roman" w:hAnsi="Times New Roman" w:cs="Times New Roman"/>
          <w:sz w:val="24"/>
          <w:szCs w:val="24"/>
        </w:rPr>
        <w:t xml:space="preserve"> aspect of this</w:t>
      </w:r>
      <w:r w:rsidRPr="009F3FFE">
        <w:rPr>
          <w:rFonts w:ascii="Times New Roman" w:hAnsi="Times New Roman" w:cs="Times New Roman"/>
          <w:sz w:val="24"/>
          <w:szCs w:val="24"/>
        </w:rPr>
        <w:t xml:space="preserve"> investigation is the construction of a series on </w:t>
      </w:r>
      <w:r>
        <w:rPr>
          <w:rFonts w:ascii="Times New Roman" w:hAnsi="Times New Roman" w:cs="Times New Roman"/>
          <w:sz w:val="24"/>
          <w:szCs w:val="24"/>
        </w:rPr>
        <w:t>output gaps, which requires estimates of both actual and potential output.</w:t>
      </w:r>
      <w:r w:rsidRPr="009F3FFE">
        <w:rPr>
          <w:rFonts w:ascii="Times New Roman" w:hAnsi="Times New Roman" w:cs="Times New Roman"/>
          <w:sz w:val="24"/>
          <w:szCs w:val="24"/>
        </w:rPr>
        <w:t xml:space="preserve">  </w:t>
      </w:r>
      <w:r>
        <w:rPr>
          <w:rFonts w:ascii="Times New Roman" w:hAnsi="Times New Roman" w:cs="Times New Roman"/>
          <w:sz w:val="24"/>
          <w:szCs w:val="24"/>
        </w:rPr>
        <w:t xml:space="preserve"> In policy circles and most macroeconomics textbooks potential output is defined as the highest level of real output an economy can sustain without receiving so much demand stimulus (nominal income growth) that it experiences an acceleration of inflation.  The labor force and its characteristics, the amount and qualities of physical capital, the availability of natural resources </w:t>
      </w:r>
      <w:r>
        <w:rPr>
          <w:rFonts w:ascii="Times New Roman" w:hAnsi="Times New Roman" w:cs="Times New Roman"/>
          <w:sz w:val="24"/>
          <w:szCs w:val="24"/>
        </w:rPr>
        <w:lastRenderedPageBreak/>
        <w:t xml:space="preserve">(including the weather), the level and availability of technological knowledge, and the nature of the legal system and political regime can all affect it.  </w:t>
      </w:r>
    </w:p>
    <w:p w14:paraId="177CAE51" w14:textId="2C2D124A" w:rsidR="0099387D" w:rsidRDefault="0099387D" w:rsidP="0099387D">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Not </w:t>
      </w:r>
      <w:r w:rsidR="00286FA8">
        <w:rPr>
          <w:rFonts w:ascii="Times New Roman" w:hAnsi="Times New Roman" w:cs="Times New Roman"/>
          <w:sz w:val="24"/>
          <w:szCs w:val="24"/>
        </w:rPr>
        <w:t>all economists are</w:t>
      </w:r>
      <w:r>
        <w:rPr>
          <w:rFonts w:ascii="Times New Roman" w:hAnsi="Times New Roman" w:cs="Times New Roman"/>
          <w:sz w:val="24"/>
          <w:szCs w:val="24"/>
        </w:rPr>
        <w:t xml:space="preserve"> interested in measuring output gaps.  Real business cycle proponents do not distinguish between actual and potential, so the concept of an output gap is of little interest, and there is no imperative to estimate potential as something distinct from actual. Cycles are to be explained as the result of the same kinds of supply shocks (“technology shocks”) that help determine long run growth. In new Keynesian DSGE models, potential output is understood as the difference between actual output and what would be possible if all nominal wage and price rigidities were eliminated (see Mishkin, 2007). Mishkin suggests that this definition has “much in common” with the standard definition, although it seems to me they point in quite different directions in terms of policies that could help close gaps: the former implying that broad structural reform (to remove rigidities) might be front and center, while the standard definition focuses attention on the possible ameliorative roles of fiscal and monetary policies.</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14:paraId="253810BA" w14:textId="5477362B" w:rsidR="0099387D" w:rsidRDefault="0099387D" w:rsidP="0099387D">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Assuming we are interested in measuring output gaps, and we will need to </w:t>
      </w:r>
      <w:r w:rsidR="00286FA8">
        <w:rPr>
          <w:rFonts w:ascii="Times New Roman" w:hAnsi="Times New Roman" w:cs="Times New Roman"/>
          <w:sz w:val="24"/>
          <w:szCs w:val="24"/>
        </w:rPr>
        <w:t>be</w:t>
      </w:r>
      <w:r>
        <w:rPr>
          <w:rFonts w:ascii="Times New Roman" w:hAnsi="Times New Roman" w:cs="Times New Roman"/>
          <w:sz w:val="24"/>
          <w:szCs w:val="24"/>
        </w:rPr>
        <w:t xml:space="preserve"> if we wish to study what a Taylor rule might have prescribed in the 1920s, we will need estimates of potential as well as actual. In 1979 Schwert and Plosser noted that</w:t>
      </w:r>
    </w:p>
    <w:p w14:paraId="72E664FE" w14:textId="77777777" w:rsidR="0099387D" w:rsidRDefault="0099387D" w:rsidP="0099387D">
      <w:pPr>
        <w:spacing w:line="240" w:lineRule="auto"/>
        <w:ind w:left="576"/>
        <w:rPr>
          <w:rFonts w:ascii="Times New Roman" w:hAnsi="Times New Roman" w:cs="Times New Roman"/>
          <w:sz w:val="24"/>
          <w:szCs w:val="24"/>
        </w:rPr>
      </w:pPr>
      <w:r>
        <w:rPr>
          <w:rFonts w:ascii="Times New Roman" w:hAnsi="Times New Roman" w:cs="Times New Roman"/>
          <w:sz w:val="24"/>
          <w:szCs w:val="24"/>
        </w:rPr>
        <w:t xml:space="preserve">…most efforts to estimate potential output … are essentially equivalent to extrapolation of output. The details of different approaches really amount to questions of whether the trend line should pass through the peaks of past output (as Okun’s approach implies…) or through the middle of past output….  The former approach produces an “output gap” which is always positive, implying a need for stimulative government policies, while the </w:t>
      </w:r>
      <w:r>
        <w:rPr>
          <w:rFonts w:ascii="Times New Roman" w:hAnsi="Times New Roman" w:cs="Times New Roman"/>
          <w:sz w:val="24"/>
          <w:szCs w:val="24"/>
        </w:rPr>
        <w:lastRenderedPageBreak/>
        <w:t xml:space="preserve">latter approach implies that the “output gap” can be both positive and negative (1979, p. 185).  </w:t>
      </w:r>
    </w:p>
    <w:p w14:paraId="0BBD51AC" w14:textId="77777777" w:rsidR="0099387D" w:rsidRDefault="0099387D" w:rsidP="0099387D">
      <w:pPr>
        <w:spacing w:line="240" w:lineRule="auto"/>
        <w:ind w:firstLine="576"/>
        <w:rPr>
          <w:rFonts w:ascii="Times New Roman" w:hAnsi="Times New Roman" w:cs="Times New Roman"/>
          <w:sz w:val="24"/>
          <w:szCs w:val="24"/>
        </w:rPr>
      </w:pPr>
    </w:p>
    <w:p w14:paraId="1D2509C6" w14:textId="1FB9D778" w:rsidR="0099387D" w:rsidRDefault="0099387D" w:rsidP="0099387D">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 The final sentence is not quite right, since the Okun vision allows output to be above potential, </w:t>
      </w:r>
      <w:r w:rsidRPr="00FE4CE3">
        <w:rPr>
          <w:rFonts w:ascii="Times New Roman" w:hAnsi="Times New Roman" w:cs="Times New Roman"/>
          <w:sz w:val="24"/>
          <w:szCs w:val="24"/>
        </w:rPr>
        <w:t>provided there is evidence of accelerating inflation</w:t>
      </w:r>
      <w:r>
        <w:rPr>
          <w:rFonts w:ascii="Times New Roman" w:hAnsi="Times New Roman" w:cs="Times New Roman"/>
          <w:sz w:val="24"/>
          <w:szCs w:val="24"/>
        </w:rPr>
        <w:t xml:space="preserve">. As Okun put it, the objective is “maximum production without inflationary pressure” (1962, p. 99).   The Schwert and Plosser quote does however succeed in identifying two distinct approaches to estimating the nature of the trajectory of potential and deviations of actual from it.  The first, which we can call </w:t>
      </w:r>
      <w:r w:rsidR="00286FA8">
        <w:rPr>
          <w:rFonts w:ascii="Times New Roman" w:hAnsi="Times New Roman" w:cs="Times New Roman"/>
          <w:sz w:val="24"/>
          <w:szCs w:val="24"/>
        </w:rPr>
        <w:t>t</w:t>
      </w:r>
      <w:r>
        <w:rPr>
          <w:rFonts w:ascii="Times New Roman" w:hAnsi="Times New Roman" w:cs="Times New Roman"/>
          <w:sz w:val="24"/>
          <w:szCs w:val="24"/>
        </w:rPr>
        <w:t>rends through peaks, can seem primitive to modern economists. Although rooted in NBER traditions, it requires careful attention to data and the exercise of judgment.  And it imposes a constant growth rate of potential</w:t>
      </w:r>
      <w:r w:rsidRPr="004A307B">
        <w:rPr>
          <w:rFonts w:ascii="Times New Roman" w:hAnsi="Times New Roman" w:cs="Times New Roman"/>
          <w:sz w:val="24"/>
          <w:szCs w:val="24"/>
        </w:rPr>
        <w:t xml:space="preserve"> </w:t>
      </w:r>
      <w:r>
        <w:rPr>
          <w:rFonts w:ascii="Times New Roman" w:hAnsi="Times New Roman" w:cs="Times New Roman"/>
          <w:sz w:val="24"/>
          <w:szCs w:val="24"/>
        </w:rPr>
        <w:t xml:space="preserve">between business cycle peaks.  </w:t>
      </w:r>
    </w:p>
    <w:p w14:paraId="78F2EE73" w14:textId="70B91BDA" w:rsidR="0099387D" w:rsidRDefault="0099387D" w:rsidP="0099387D">
      <w:pPr>
        <w:spacing w:line="480" w:lineRule="auto"/>
        <w:ind w:firstLine="576"/>
        <w:rPr>
          <w:rFonts w:ascii="Times New Roman" w:hAnsi="Times New Roman" w:cs="Times New Roman"/>
          <w:sz w:val="24"/>
          <w:szCs w:val="24"/>
        </w:rPr>
      </w:pPr>
      <w:r>
        <w:rPr>
          <w:rFonts w:ascii="Times New Roman" w:hAnsi="Times New Roman" w:cs="Times New Roman"/>
          <w:sz w:val="24"/>
          <w:szCs w:val="24"/>
        </w:rPr>
        <w:t>For those dissatisfied with trends through peaks</w:t>
      </w:r>
      <w:r w:rsidR="00ED75F0">
        <w:rPr>
          <w:rFonts w:ascii="Times New Roman" w:hAnsi="Times New Roman" w:cs="Times New Roman"/>
          <w:sz w:val="24"/>
          <w:szCs w:val="24"/>
        </w:rPr>
        <w:t>,</w:t>
      </w:r>
      <w:r>
        <w:rPr>
          <w:rFonts w:ascii="Times New Roman" w:hAnsi="Times New Roman" w:cs="Times New Roman"/>
          <w:sz w:val="24"/>
          <w:szCs w:val="24"/>
        </w:rPr>
        <w:t xml:space="preserve"> it has become common to use a filter, in particular Hodrick-Prescott, to estimate trend based on data on actual GNP. The technique allows the trend growth rate to vary continuously, thus addressing one of the perceived deficiencies o</w:t>
      </w:r>
      <w:r w:rsidR="00ED75F0">
        <w:rPr>
          <w:rFonts w:ascii="Times New Roman" w:hAnsi="Times New Roman" w:cs="Times New Roman"/>
          <w:sz w:val="24"/>
          <w:szCs w:val="24"/>
        </w:rPr>
        <w:t>f the older methodology</w:t>
      </w:r>
      <w:r>
        <w:rPr>
          <w:rFonts w:ascii="Times New Roman" w:hAnsi="Times New Roman" w:cs="Times New Roman"/>
          <w:sz w:val="24"/>
          <w:szCs w:val="24"/>
        </w:rPr>
        <w:t xml:space="preserve">, and also allows the researcher to specify a smoothing parameter (lambda), </w:t>
      </w:r>
      <w:r w:rsidR="00286FA8">
        <w:rPr>
          <w:rFonts w:ascii="Times New Roman" w:hAnsi="Times New Roman" w:cs="Times New Roman"/>
          <w:sz w:val="24"/>
          <w:szCs w:val="24"/>
        </w:rPr>
        <w:t>influencing</w:t>
      </w:r>
      <w:r>
        <w:rPr>
          <w:rFonts w:ascii="Times New Roman" w:hAnsi="Times New Roman" w:cs="Times New Roman"/>
          <w:sz w:val="24"/>
          <w:szCs w:val="24"/>
        </w:rPr>
        <w:t xml:space="preserve"> how much variation is allowed in the growth rate.  </w:t>
      </w:r>
    </w:p>
    <w:p w14:paraId="1AB2B01C" w14:textId="0EC4EDCD" w:rsidR="0099387D" w:rsidRDefault="0099387D" w:rsidP="0099387D">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The HP filter minimizes the sum of squared deviations of trend from actual plus a term equal to lambda times the sum of the squared second differences in the trend. Second differences are changes in the rate of change, so the latter term imposes a penalty on variation in the rate of change.  </w:t>
      </w:r>
      <w:r w:rsidR="00ED75F0">
        <w:rPr>
          <w:rFonts w:ascii="Times New Roman" w:hAnsi="Times New Roman" w:cs="Times New Roman"/>
          <w:sz w:val="24"/>
          <w:szCs w:val="24"/>
        </w:rPr>
        <w:t>If</w:t>
      </w:r>
      <w:r>
        <w:rPr>
          <w:rFonts w:ascii="Times New Roman" w:hAnsi="Times New Roman" w:cs="Times New Roman"/>
          <w:sz w:val="24"/>
          <w:szCs w:val="24"/>
        </w:rPr>
        <w:t xml:space="preserve"> there is no constraint on the variability of trend (lambda = zero), the “fitted” trend </w:t>
      </w:r>
      <w:r w:rsidR="00ED75F0">
        <w:rPr>
          <w:rFonts w:ascii="Times New Roman" w:hAnsi="Times New Roman" w:cs="Times New Roman"/>
          <w:sz w:val="24"/>
          <w:szCs w:val="24"/>
        </w:rPr>
        <w:t>will</w:t>
      </w:r>
      <w:r>
        <w:rPr>
          <w:rFonts w:ascii="Times New Roman" w:hAnsi="Times New Roman" w:cs="Times New Roman"/>
          <w:sz w:val="24"/>
          <w:szCs w:val="24"/>
        </w:rPr>
        <w:t xml:space="preserve"> just pass through the data points of actual output. With a very high lambda one will </w:t>
      </w:r>
      <w:r w:rsidR="00286FA8">
        <w:rPr>
          <w:rFonts w:ascii="Times New Roman" w:hAnsi="Times New Roman" w:cs="Times New Roman"/>
          <w:sz w:val="24"/>
          <w:szCs w:val="24"/>
        </w:rPr>
        <w:t>approach</w:t>
      </w:r>
      <w:r>
        <w:rPr>
          <w:rFonts w:ascii="Times New Roman" w:hAnsi="Times New Roman" w:cs="Times New Roman"/>
          <w:sz w:val="24"/>
          <w:szCs w:val="24"/>
        </w:rPr>
        <w:t xml:space="preserve"> a straight line with a slope equal to what one would obtain with ordinary least squares.  The </w:t>
      </w:r>
      <w:r w:rsidR="00286FA8">
        <w:rPr>
          <w:rFonts w:ascii="Times New Roman" w:hAnsi="Times New Roman" w:cs="Times New Roman"/>
          <w:sz w:val="24"/>
          <w:szCs w:val="24"/>
        </w:rPr>
        <w:t xml:space="preserve">smoothing parameter commonly used </w:t>
      </w:r>
      <w:r>
        <w:rPr>
          <w:rFonts w:ascii="Times New Roman" w:hAnsi="Times New Roman" w:cs="Times New Roman"/>
          <w:sz w:val="24"/>
          <w:szCs w:val="24"/>
        </w:rPr>
        <w:t xml:space="preserve">in the literature for </w:t>
      </w:r>
      <w:r w:rsidR="00286FA8">
        <w:rPr>
          <w:rFonts w:ascii="Times New Roman" w:hAnsi="Times New Roman" w:cs="Times New Roman"/>
          <w:sz w:val="24"/>
          <w:szCs w:val="24"/>
        </w:rPr>
        <w:t xml:space="preserve">annual data is </w:t>
      </w:r>
      <w:r w:rsidR="00276B30">
        <w:rPr>
          <w:rFonts w:ascii="Times New Roman" w:hAnsi="Times New Roman" w:cs="Times New Roman"/>
          <w:sz w:val="24"/>
          <w:szCs w:val="24"/>
        </w:rPr>
        <w:t>100</w:t>
      </w:r>
      <w:r>
        <w:rPr>
          <w:rFonts w:ascii="Times New Roman" w:hAnsi="Times New Roman" w:cs="Times New Roman"/>
          <w:sz w:val="24"/>
          <w:szCs w:val="24"/>
        </w:rPr>
        <w:t>.</w:t>
      </w:r>
    </w:p>
    <w:p w14:paraId="7C9CF707" w14:textId="33E39249" w:rsidR="00A73EF9" w:rsidRDefault="0099387D" w:rsidP="0099387D">
      <w:pPr>
        <w:spacing w:line="480" w:lineRule="auto"/>
        <w:ind w:firstLine="576"/>
        <w:rPr>
          <w:rFonts w:ascii="Times New Roman" w:hAnsi="Times New Roman" w:cs="Times New Roman"/>
          <w:sz w:val="24"/>
          <w:szCs w:val="24"/>
        </w:rPr>
      </w:pPr>
      <w:r>
        <w:rPr>
          <w:rFonts w:ascii="Times New Roman" w:hAnsi="Times New Roman" w:cs="Times New Roman"/>
          <w:sz w:val="24"/>
          <w:szCs w:val="24"/>
        </w:rPr>
        <w:lastRenderedPageBreak/>
        <w:t>Th</w:t>
      </w:r>
      <w:r w:rsidR="00286FA8">
        <w:rPr>
          <w:rFonts w:ascii="Times New Roman" w:hAnsi="Times New Roman" w:cs="Times New Roman"/>
          <w:sz w:val="24"/>
          <w:szCs w:val="24"/>
        </w:rPr>
        <w:t xml:space="preserve">e HP </w:t>
      </w:r>
      <w:r>
        <w:rPr>
          <w:rFonts w:ascii="Times New Roman" w:hAnsi="Times New Roman" w:cs="Times New Roman"/>
          <w:sz w:val="24"/>
          <w:szCs w:val="24"/>
        </w:rPr>
        <w:t xml:space="preserve">method pushes trend (interpreted as potential) through what Schwert and Plosser call the “middle of past output” in the sense that the deviations of actual from potential will be symmetrically distributed above and below potential.  If the filter is run on logged values of actual output, the sum of the deviations will, </w:t>
      </w:r>
      <w:r w:rsidR="00ED75F0">
        <w:rPr>
          <w:rFonts w:ascii="Times New Roman" w:hAnsi="Times New Roman" w:cs="Times New Roman"/>
          <w:sz w:val="24"/>
          <w:szCs w:val="24"/>
        </w:rPr>
        <w:t>moreover</w:t>
      </w:r>
      <w:r>
        <w:rPr>
          <w:rFonts w:ascii="Times New Roman" w:hAnsi="Times New Roman" w:cs="Times New Roman"/>
          <w:sz w:val="24"/>
          <w:szCs w:val="24"/>
        </w:rPr>
        <w:t xml:space="preserve">, be </w:t>
      </w:r>
      <w:r w:rsidR="00ED75F0">
        <w:rPr>
          <w:rFonts w:ascii="Times New Roman" w:hAnsi="Times New Roman" w:cs="Times New Roman"/>
          <w:sz w:val="24"/>
          <w:szCs w:val="24"/>
        </w:rPr>
        <w:t xml:space="preserve">exactly </w:t>
      </w:r>
      <w:r>
        <w:rPr>
          <w:rFonts w:ascii="Times New Roman" w:hAnsi="Times New Roman" w:cs="Times New Roman"/>
          <w:sz w:val="24"/>
          <w:szCs w:val="24"/>
        </w:rPr>
        <w:t xml:space="preserve">zero.  In many cases – not necessarily by RBC proponents, but by those who use its favored statistical methods – including New Keynesians --  the filter-produced trend series is interpreted as representing the evolution of potential output (Gibbs, 1995, p. 89).  </w:t>
      </w:r>
      <w:r w:rsidR="00276B30">
        <w:rPr>
          <w:rFonts w:ascii="Times New Roman" w:hAnsi="Times New Roman" w:cs="Times New Roman"/>
          <w:sz w:val="24"/>
          <w:szCs w:val="24"/>
        </w:rPr>
        <w:t>Indee</w:t>
      </w:r>
      <w:r w:rsidR="00ED75F0">
        <w:rPr>
          <w:rFonts w:ascii="Times New Roman" w:hAnsi="Times New Roman" w:cs="Times New Roman"/>
          <w:sz w:val="24"/>
          <w:szCs w:val="24"/>
        </w:rPr>
        <w:t xml:space="preserve">d, although Taylor (1993) is not </w:t>
      </w:r>
      <w:r w:rsidR="00276B30">
        <w:rPr>
          <w:rFonts w:ascii="Times New Roman" w:hAnsi="Times New Roman" w:cs="Times New Roman"/>
          <w:sz w:val="24"/>
          <w:szCs w:val="24"/>
        </w:rPr>
        <w:t xml:space="preserve">explicit about </w:t>
      </w:r>
      <w:r w:rsidR="00ED75F0">
        <w:rPr>
          <w:rFonts w:ascii="Times New Roman" w:hAnsi="Times New Roman" w:cs="Times New Roman"/>
          <w:sz w:val="24"/>
          <w:szCs w:val="24"/>
        </w:rPr>
        <w:t xml:space="preserve">how </w:t>
      </w:r>
      <w:r w:rsidR="00276B30">
        <w:rPr>
          <w:rFonts w:ascii="Times New Roman" w:hAnsi="Times New Roman" w:cs="Times New Roman"/>
          <w:sz w:val="24"/>
          <w:szCs w:val="24"/>
        </w:rPr>
        <w:t>the trend of potential is to be retrospectively constructed, Taylor (1999a</w:t>
      </w:r>
      <w:r w:rsidR="00061CB8">
        <w:rPr>
          <w:rFonts w:ascii="Times New Roman" w:hAnsi="Times New Roman" w:cs="Times New Roman"/>
          <w:sz w:val="24"/>
          <w:szCs w:val="24"/>
        </w:rPr>
        <w:t>, pp. 327-8</w:t>
      </w:r>
      <w:r w:rsidR="00276B30">
        <w:rPr>
          <w:rFonts w:ascii="Times New Roman" w:hAnsi="Times New Roman" w:cs="Times New Roman"/>
          <w:sz w:val="24"/>
          <w:szCs w:val="24"/>
        </w:rPr>
        <w:t xml:space="preserve">) </w:t>
      </w:r>
      <w:r w:rsidR="00ED75F0">
        <w:rPr>
          <w:rFonts w:ascii="Times New Roman" w:hAnsi="Times New Roman" w:cs="Times New Roman"/>
          <w:sz w:val="24"/>
          <w:szCs w:val="24"/>
        </w:rPr>
        <w:t xml:space="preserve">reflects adoption of the </w:t>
      </w:r>
      <w:r w:rsidR="00276B30">
        <w:rPr>
          <w:rFonts w:ascii="Times New Roman" w:hAnsi="Times New Roman" w:cs="Times New Roman"/>
          <w:sz w:val="24"/>
          <w:szCs w:val="24"/>
        </w:rPr>
        <w:t xml:space="preserve"> use of the HP filter – illustrative of the second approach referenced in the Schwert and Plosser quote.  On the other hand, there is no evidence that Taylor has abandoned the standard definition of potential output: the highest level of output the economy is capable of sustaining with receiving so much stimulus it experiences an acceleration of inflat</w:t>
      </w:r>
      <w:r w:rsidR="00A73EF9">
        <w:rPr>
          <w:rFonts w:ascii="Times New Roman" w:hAnsi="Times New Roman" w:cs="Times New Roman"/>
          <w:sz w:val="24"/>
          <w:szCs w:val="24"/>
        </w:rPr>
        <w:t>ion.</w:t>
      </w:r>
      <w:r w:rsidR="00061CB8">
        <w:rPr>
          <w:rFonts w:ascii="Times New Roman" w:hAnsi="Times New Roman" w:cs="Times New Roman"/>
          <w:sz w:val="24"/>
          <w:szCs w:val="24"/>
        </w:rPr>
        <w:t xml:space="preserve"> The problem is that these positions are contradictory. U</w:t>
      </w:r>
      <w:r w:rsidR="00A73EF9">
        <w:rPr>
          <w:rFonts w:ascii="Times New Roman" w:hAnsi="Times New Roman" w:cs="Times New Roman"/>
          <w:sz w:val="24"/>
          <w:szCs w:val="24"/>
        </w:rPr>
        <w:t>sing the H</w:t>
      </w:r>
      <w:r w:rsidR="00061CB8">
        <w:rPr>
          <w:rFonts w:ascii="Times New Roman" w:hAnsi="Times New Roman" w:cs="Times New Roman"/>
          <w:sz w:val="24"/>
          <w:szCs w:val="24"/>
        </w:rPr>
        <w:t>P filter to identify potential,</w:t>
      </w:r>
      <w:r w:rsidR="00A73EF9">
        <w:rPr>
          <w:rFonts w:ascii="Times New Roman" w:hAnsi="Times New Roman" w:cs="Times New Roman"/>
          <w:sz w:val="24"/>
          <w:szCs w:val="24"/>
        </w:rPr>
        <w:t xml:space="preserve"> will identify may</w:t>
      </w:r>
      <w:r w:rsidR="00061CB8">
        <w:rPr>
          <w:rFonts w:ascii="Times New Roman" w:hAnsi="Times New Roman" w:cs="Times New Roman"/>
          <w:sz w:val="24"/>
          <w:szCs w:val="24"/>
        </w:rPr>
        <w:t xml:space="preserve"> years as “above potential” which</w:t>
      </w:r>
      <w:r w:rsidR="00A73EF9">
        <w:rPr>
          <w:rFonts w:ascii="Times New Roman" w:hAnsi="Times New Roman" w:cs="Times New Roman"/>
          <w:sz w:val="24"/>
          <w:szCs w:val="24"/>
        </w:rPr>
        <w:t xml:space="preserve"> were in fact experiencing stable or decelerating inflation</w:t>
      </w:r>
    </w:p>
    <w:p w14:paraId="2F163263" w14:textId="21D3A990" w:rsidR="003B5A6A" w:rsidRDefault="00A74B8F" w:rsidP="003B5A6A">
      <w:pPr>
        <w:spacing w:line="480" w:lineRule="auto"/>
        <w:ind w:firstLine="576"/>
        <w:rPr>
          <w:rFonts w:ascii="Times New Roman" w:hAnsi="Times New Roman" w:cs="Times New Roman"/>
          <w:sz w:val="24"/>
          <w:szCs w:val="24"/>
        </w:rPr>
      </w:pPr>
      <w:r>
        <w:rPr>
          <w:rFonts w:ascii="Times New Roman" w:hAnsi="Times New Roman" w:cs="Times New Roman"/>
          <w:sz w:val="24"/>
          <w:szCs w:val="24"/>
        </w:rPr>
        <w:t>There are sev</w:t>
      </w:r>
      <w:r w:rsidR="00EE00EC">
        <w:rPr>
          <w:rFonts w:ascii="Times New Roman" w:hAnsi="Times New Roman" w:cs="Times New Roman"/>
          <w:sz w:val="24"/>
          <w:szCs w:val="24"/>
        </w:rPr>
        <w:t>eral problems with th</w:t>
      </w:r>
      <w:r w:rsidR="00A73EF9">
        <w:rPr>
          <w:rFonts w:ascii="Times New Roman" w:hAnsi="Times New Roman" w:cs="Times New Roman"/>
          <w:sz w:val="24"/>
          <w:szCs w:val="24"/>
        </w:rPr>
        <w:t>e HP ap</w:t>
      </w:r>
      <w:r w:rsidR="00286FA8">
        <w:rPr>
          <w:rFonts w:ascii="Times New Roman" w:hAnsi="Times New Roman" w:cs="Times New Roman"/>
          <w:sz w:val="24"/>
          <w:szCs w:val="24"/>
        </w:rPr>
        <w:t>proach</w:t>
      </w:r>
      <w:r w:rsidR="00AE34F2">
        <w:rPr>
          <w:rFonts w:ascii="Times New Roman" w:hAnsi="Times New Roman" w:cs="Times New Roman"/>
          <w:sz w:val="24"/>
          <w:szCs w:val="24"/>
        </w:rPr>
        <w:t xml:space="preserve">.  One </w:t>
      </w:r>
      <w:r>
        <w:rPr>
          <w:rFonts w:ascii="Times New Roman" w:hAnsi="Times New Roman" w:cs="Times New Roman"/>
          <w:sz w:val="24"/>
          <w:szCs w:val="24"/>
        </w:rPr>
        <w:t>is that it</w:t>
      </w:r>
      <w:r w:rsidR="00E769A0">
        <w:rPr>
          <w:rFonts w:ascii="Times New Roman" w:hAnsi="Times New Roman" w:cs="Times New Roman"/>
          <w:sz w:val="24"/>
          <w:szCs w:val="24"/>
        </w:rPr>
        <w:t xml:space="preserve"> frequently leads to</w:t>
      </w:r>
      <w:r w:rsidR="003B5A6A">
        <w:rPr>
          <w:rFonts w:ascii="Times New Roman" w:hAnsi="Times New Roman" w:cs="Times New Roman"/>
          <w:sz w:val="24"/>
          <w:szCs w:val="24"/>
        </w:rPr>
        <w:t xml:space="preserve"> suggestions, usually after the fact,</w:t>
      </w:r>
      <w:r w:rsidR="00A13CF9">
        <w:rPr>
          <w:rFonts w:ascii="Times New Roman" w:hAnsi="Times New Roman" w:cs="Times New Roman"/>
          <w:sz w:val="24"/>
          <w:szCs w:val="24"/>
        </w:rPr>
        <w:t xml:space="preserve"> </w:t>
      </w:r>
      <w:r w:rsidR="003B5A6A">
        <w:rPr>
          <w:rFonts w:ascii="Times New Roman" w:hAnsi="Times New Roman" w:cs="Times New Roman"/>
          <w:sz w:val="24"/>
          <w:szCs w:val="24"/>
        </w:rPr>
        <w:t>that an economy was above potential prior to a downturn, because it was above trend</w:t>
      </w:r>
      <w:r>
        <w:rPr>
          <w:rFonts w:ascii="Times New Roman" w:hAnsi="Times New Roman" w:cs="Times New Roman"/>
          <w:sz w:val="24"/>
          <w:szCs w:val="24"/>
        </w:rPr>
        <w:t>.</w:t>
      </w:r>
      <w:r w:rsidR="003B5A6A">
        <w:rPr>
          <w:rFonts w:ascii="Times New Roman" w:hAnsi="Times New Roman" w:cs="Times New Roman"/>
          <w:sz w:val="24"/>
          <w:szCs w:val="24"/>
        </w:rPr>
        <w:t xml:space="preserve">  This is of course conceivable. It is possible within a wide variety of theoretical specifications for output to be above potential (in which case it will be associated with accelerating inflation) as well as below potential (in which case there will be a negative output gap associated with involuntary unemployment, and, eventually, deceleration</w:t>
      </w:r>
      <w:r w:rsidR="00E769A0">
        <w:rPr>
          <w:rFonts w:ascii="Times New Roman" w:hAnsi="Times New Roman" w:cs="Times New Roman"/>
          <w:sz w:val="24"/>
          <w:szCs w:val="24"/>
        </w:rPr>
        <w:t xml:space="preserve"> in inflation).  But the</w:t>
      </w:r>
      <w:r w:rsidR="003B5A6A">
        <w:rPr>
          <w:rFonts w:ascii="Times New Roman" w:hAnsi="Times New Roman" w:cs="Times New Roman"/>
          <w:sz w:val="24"/>
          <w:szCs w:val="24"/>
        </w:rPr>
        <w:t xml:space="preserve"> conclusion that an economy was above potential prior to a downturn is partly an artefact of the algorithm underlying the HP filter.  If</w:t>
      </w:r>
      <w:r w:rsidR="00B23CC9">
        <w:rPr>
          <w:rFonts w:ascii="Times New Roman" w:hAnsi="Times New Roman" w:cs="Times New Roman"/>
          <w:sz w:val="24"/>
          <w:szCs w:val="24"/>
        </w:rPr>
        <w:t>,</w:t>
      </w:r>
      <w:r w:rsidR="0099387D">
        <w:rPr>
          <w:rFonts w:ascii="Times New Roman" w:hAnsi="Times New Roman" w:cs="Times New Roman"/>
          <w:sz w:val="24"/>
          <w:szCs w:val="24"/>
        </w:rPr>
        <w:t xml:space="preserve"> f</w:t>
      </w:r>
      <w:r w:rsidR="00AE34F2">
        <w:rPr>
          <w:rFonts w:ascii="Times New Roman" w:hAnsi="Times New Roman" w:cs="Times New Roman"/>
          <w:sz w:val="24"/>
          <w:szCs w:val="24"/>
        </w:rPr>
        <w:t>ollowing a downturn,</w:t>
      </w:r>
      <w:r w:rsidR="003B5A6A">
        <w:rPr>
          <w:rFonts w:ascii="Times New Roman" w:hAnsi="Times New Roman" w:cs="Times New Roman"/>
          <w:sz w:val="24"/>
          <w:szCs w:val="24"/>
        </w:rPr>
        <w:t xml:space="preserve"> the most</w:t>
      </w:r>
      <w:r w:rsidR="00B4210D">
        <w:rPr>
          <w:rFonts w:ascii="Times New Roman" w:hAnsi="Times New Roman" w:cs="Times New Roman"/>
          <w:sz w:val="24"/>
          <w:szCs w:val="24"/>
        </w:rPr>
        <w:t xml:space="preserve"> recent observati</w:t>
      </w:r>
      <w:r w:rsidR="005C783E">
        <w:rPr>
          <w:rFonts w:ascii="Times New Roman" w:hAnsi="Times New Roman" w:cs="Times New Roman"/>
          <w:sz w:val="24"/>
          <w:szCs w:val="24"/>
        </w:rPr>
        <w:t xml:space="preserve">ons </w:t>
      </w:r>
      <w:r w:rsidR="005C783E">
        <w:rPr>
          <w:rFonts w:ascii="Times New Roman" w:hAnsi="Times New Roman" w:cs="Times New Roman"/>
          <w:sz w:val="24"/>
          <w:szCs w:val="24"/>
        </w:rPr>
        <w:lastRenderedPageBreak/>
        <w:t>are included in the data inputted</w:t>
      </w:r>
      <w:r w:rsidR="00B4210D">
        <w:rPr>
          <w:rFonts w:ascii="Times New Roman" w:hAnsi="Times New Roman" w:cs="Times New Roman"/>
          <w:sz w:val="24"/>
          <w:szCs w:val="24"/>
        </w:rPr>
        <w:t xml:space="preserve"> into the filter,</w:t>
      </w:r>
      <w:r w:rsidR="003B5A6A">
        <w:rPr>
          <w:rFonts w:ascii="Times New Roman" w:hAnsi="Times New Roman" w:cs="Times New Roman"/>
          <w:sz w:val="24"/>
          <w:szCs w:val="24"/>
        </w:rPr>
        <w:t xml:space="preserve"> it is almost inevitable, using recommended smoothing parameters, that the HP trend will be below actual prior to </w:t>
      </w:r>
      <w:r w:rsidR="00AE34F2">
        <w:rPr>
          <w:rFonts w:ascii="Times New Roman" w:hAnsi="Times New Roman" w:cs="Times New Roman"/>
          <w:sz w:val="24"/>
          <w:szCs w:val="24"/>
        </w:rPr>
        <w:t>the</w:t>
      </w:r>
      <w:r w:rsidR="003B5A6A">
        <w:rPr>
          <w:rFonts w:ascii="Times New Roman" w:hAnsi="Times New Roman" w:cs="Times New Roman"/>
          <w:sz w:val="24"/>
          <w:szCs w:val="24"/>
        </w:rPr>
        <w:t xml:space="preserve"> downturn.  Even more </w:t>
      </w:r>
      <w:r w:rsidR="00B23CC9">
        <w:rPr>
          <w:rFonts w:ascii="Times New Roman" w:hAnsi="Times New Roman" w:cs="Times New Roman"/>
          <w:sz w:val="24"/>
          <w:szCs w:val="24"/>
        </w:rPr>
        <w:t>consequentiall</w:t>
      </w:r>
      <w:r w:rsidR="00160E55">
        <w:rPr>
          <w:rFonts w:ascii="Times New Roman" w:hAnsi="Times New Roman" w:cs="Times New Roman"/>
          <w:sz w:val="24"/>
          <w:szCs w:val="24"/>
        </w:rPr>
        <w:t>y,</w:t>
      </w:r>
      <w:r w:rsidR="003B5A6A">
        <w:rPr>
          <w:rFonts w:ascii="Times New Roman" w:hAnsi="Times New Roman" w:cs="Times New Roman"/>
          <w:sz w:val="24"/>
          <w:szCs w:val="24"/>
        </w:rPr>
        <w:t xml:space="preserve"> if one interprets the HP trend of actual as reflecting the evolution of potential output, the filtering algorith</w:t>
      </w:r>
      <w:r w:rsidR="00EE00EC">
        <w:rPr>
          <w:rFonts w:ascii="Times New Roman" w:hAnsi="Times New Roman" w:cs="Times New Roman"/>
          <w:sz w:val="24"/>
          <w:szCs w:val="24"/>
        </w:rPr>
        <w:t>m carrie</w:t>
      </w:r>
      <w:r>
        <w:rPr>
          <w:rFonts w:ascii="Times New Roman" w:hAnsi="Times New Roman" w:cs="Times New Roman"/>
          <w:sz w:val="24"/>
          <w:szCs w:val="24"/>
        </w:rPr>
        <w:t>s with it</w:t>
      </w:r>
      <w:r w:rsidR="003B5A6A">
        <w:rPr>
          <w:rFonts w:ascii="Times New Roman" w:hAnsi="Times New Roman" w:cs="Times New Roman"/>
          <w:sz w:val="24"/>
          <w:szCs w:val="24"/>
        </w:rPr>
        <w:t xml:space="preserve"> </w:t>
      </w:r>
      <w:r w:rsidR="00B23CC9">
        <w:rPr>
          <w:rFonts w:ascii="Times New Roman" w:hAnsi="Times New Roman" w:cs="Times New Roman"/>
          <w:sz w:val="24"/>
          <w:szCs w:val="24"/>
        </w:rPr>
        <w:t xml:space="preserve">and indeed imposes </w:t>
      </w:r>
      <w:r w:rsidR="003B5A6A">
        <w:rPr>
          <w:rFonts w:ascii="Times New Roman" w:hAnsi="Times New Roman" w:cs="Times New Roman"/>
          <w:sz w:val="24"/>
          <w:szCs w:val="24"/>
        </w:rPr>
        <w:t xml:space="preserve">the view that deviations of actual from potential are symmetrically distributed above and below potential.  </w:t>
      </w:r>
      <w:r w:rsidR="00061CB8">
        <w:rPr>
          <w:rFonts w:ascii="Times New Roman" w:hAnsi="Times New Roman" w:cs="Times New Roman"/>
          <w:sz w:val="24"/>
          <w:szCs w:val="24"/>
        </w:rPr>
        <w:t>T</w:t>
      </w:r>
      <w:r w:rsidR="00D45885">
        <w:rPr>
          <w:rFonts w:ascii="Times New Roman" w:hAnsi="Times New Roman" w:cs="Times New Roman"/>
          <w:sz w:val="24"/>
          <w:szCs w:val="24"/>
        </w:rPr>
        <w:t>his  does substantially more violence to reality tha</w:t>
      </w:r>
      <w:r w:rsidR="00B23CC9">
        <w:rPr>
          <w:rFonts w:ascii="Times New Roman" w:hAnsi="Times New Roman" w:cs="Times New Roman"/>
          <w:sz w:val="24"/>
          <w:szCs w:val="24"/>
        </w:rPr>
        <w:t>n the imposition of a constant growth rate of potential between business cycle peaks</w:t>
      </w:r>
      <w:r w:rsidR="00D45885">
        <w:rPr>
          <w:rFonts w:ascii="Times New Roman" w:hAnsi="Times New Roman" w:cs="Times New Roman"/>
          <w:sz w:val="24"/>
          <w:szCs w:val="24"/>
        </w:rPr>
        <w:t>, the often cited flaw in the trends through peaks approach.</w:t>
      </w:r>
    </w:p>
    <w:p w14:paraId="0197CDAB" w14:textId="4E87755A" w:rsidR="003B5A6A" w:rsidRDefault="003B5A6A" w:rsidP="003B5A6A">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I </w:t>
      </w:r>
      <w:r w:rsidR="00D45885">
        <w:rPr>
          <w:rFonts w:ascii="Times New Roman" w:hAnsi="Times New Roman" w:cs="Times New Roman"/>
          <w:sz w:val="24"/>
          <w:szCs w:val="24"/>
        </w:rPr>
        <w:t xml:space="preserve">come down on the side of </w:t>
      </w:r>
      <w:r>
        <w:rPr>
          <w:rFonts w:ascii="Times New Roman" w:hAnsi="Times New Roman" w:cs="Times New Roman"/>
          <w:sz w:val="24"/>
          <w:szCs w:val="24"/>
        </w:rPr>
        <w:t xml:space="preserve">Milton Friedman, as well </w:t>
      </w:r>
      <w:r w:rsidR="005C783E">
        <w:rPr>
          <w:rFonts w:ascii="Times New Roman" w:hAnsi="Times New Roman" w:cs="Times New Roman"/>
          <w:sz w:val="24"/>
          <w:szCs w:val="24"/>
        </w:rPr>
        <w:t xml:space="preserve">as Arthur Okun, </w:t>
      </w:r>
      <w:r w:rsidR="00061CB8">
        <w:rPr>
          <w:rFonts w:ascii="Times New Roman" w:hAnsi="Times New Roman" w:cs="Times New Roman"/>
          <w:sz w:val="24"/>
          <w:szCs w:val="24"/>
        </w:rPr>
        <w:t>in arguing</w:t>
      </w:r>
      <w:r w:rsidR="005C783E">
        <w:rPr>
          <w:rFonts w:ascii="Times New Roman" w:hAnsi="Times New Roman" w:cs="Times New Roman"/>
          <w:sz w:val="24"/>
          <w:szCs w:val="24"/>
        </w:rPr>
        <w:t xml:space="preserve"> that, </w:t>
      </w:r>
      <w:r>
        <w:rPr>
          <w:rFonts w:ascii="Times New Roman" w:hAnsi="Times New Roman" w:cs="Times New Roman"/>
          <w:sz w:val="24"/>
          <w:szCs w:val="24"/>
        </w:rPr>
        <w:t>with the possible exception of periods bracketing war</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5C783E">
        <w:rPr>
          <w:rFonts w:ascii="Times New Roman" w:hAnsi="Times New Roman" w:cs="Times New Roman"/>
          <w:sz w:val="24"/>
          <w:szCs w:val="24"/>
        </w:rPr>
        <w:t xml:space="preserve">it is unlikely </w:t>
      </w:r>
      <w:r>
        <w:rPr>
          <w:rFonts w:ascii="Times New Roman" w:hAnsi="Times New Roman" w:cs="Times New Roman"/>
          <w:sz w:val="24"/>
          <w:szCs w:val="24"/>
        </w:rPr>
        <w:t>that these deviations wi</w:t>
      </w:r>
      <w:r w:rsidR="000C7121">
        <w:rPr>
          <w:rFonts w:ascii="Times New Roman" w:hAnsi="Times New Roman" w:cs="Times New Roman"/>
          <w:sz w:val="24"/>
          <w:szCs w:val="24"/>
        </w:rPr>
        <w:t>ll be symmetrically distributed</w:t>
      </w:r>
      <w:r>
        <w:rPr>
          <w:rFonts w:ascii="Times New Roman" w:hAnsi="Times New Roman" w:cs="Times New Roman"/>
          <w:sz w:val="24"/>
          <w:szCs w:val="24"/>
        </w:rPr>
        <w:t xml:space="preserve">. Friedman’s “plucking” model of the business cycle, first introduced in 1964, viewed deviations from potential as asymmetrically distributed below (Friedman, 1969, p. 274).  His evidence was that there was “no systematic connection” between the size of an expansion and the size of a subsequent contraction, whereas the reverse was true for the relationship between the size of a contraction and the size of a subsequent expansion. He saw no reason to modify his views when he revisited the issue three decades later (1993, pp. 171-72).  </w:t>
      </w:r>
      <w:r w:rsidR="00EE00EC">
        <w:rPr>
          <w:rFonts w:ascii="Times New Roman" w:hAnsi="Times New Roman" w:cs="Times New Roman"/>
          <w:sz w:val="24"/>
          <w:szCs w:val="24"/>
        </w:rPr>
        <w:t xml:space="preserve">In 1988 </w:t>
      </w:r>
      <w:r w:rsidR="00A74B8F">
        <w:rPr>
          <w:rFonts w:ascii="Times New Roman" w:hAnsi="Times New Roman" w:cs="Times New Roman"/>
          <w:sz w:val="24"/>
          <w:szCs w:val="24"/>
        </w:rPr>
        <w:t>De Long and Summers cautiously endorse</w:t>
      </w:r>
      <w:r w:rsidR="00EE00EC">
        <w:rPr>
          <w:rFonts w:ascii="Times New Roman" w:hAnsi="Times New Roman" w:cs="Times New Roman"/>
          <w:sz w:val="24"/>
          <w:szCs w:val="24"/>
        </w:rPr>
        <w:t>d</w:t>
      </w:r>
      <w:r w:rsidR="00A74B8F">
        <w:rPr>
          <w:rFonts w:ascii="Times New Roman" w:hAnsi="Times New Roman" w:cs="Times New Roman"/>
          <w:sz w:val="24"/>
          <w:szCs w:val="24"/>
        </w:rPr>
        <w:t xml:space="preserve"> similar views</w:t>
      </w:r>
      <w:r w:rsidR="00B23CC9">
        <w:rPr>
          <w:rFonts w:ascii="Times New Roman" w:hAnsi="Times New Roman" w:cs="Times New Roman"/>
          <w:sz w:val="24"/>
          <w:szCs w:val="24"/>
        </w:rPr>
        <w:t>.</w:t>
      </w:r>
    </w:p>
    <w:p w14:paraId="37B9DA76" w14:textId="538E1948" w:rsidR="003B5A6A" w:rsidRDefault="003B5A6A" w:rsidP="003B5A6A">
      <w:pPr>
        <w:spacing w:line="480" w:lineRule="auto"/>
        <w:ind w:firstLine="576"/>
        <w:rPr>
          <w:rFonts w:ascii="Times New Roman" w:hAnsi="Times New Roman" w:cs="Times New Roman"/>
          <w:bCs/>
          <w:sz w:val="24"/>
          <w:szCs w:val="24"/>
        </w:rPr>
      </w:pPr>
      <w:r>
        <w:rPr>
          <w:rFonts w:ascii="Times New Roman" w:hAnsi="Times New Roman" w:cs="Times New Roman"/>
          <w:sz w:val="24"/>
          <w:szCs w:val="24"/>
        </w:rPr>
        <w:t xml:space="preserve">An </w:t>
      </w:r>
      <w:r w:rsidR="004A307B">
        <w:rPr>
          <w:rFonts w:ascii="Times New Roman" w:hAnsi="Times New Roman" w:cs="Times New Roman"/>
          <w:sz w:val="24"/>
          <w:szCs w:val="24"/>
        </w:rPr>
        <w:t>HP</w:t>
      </w:r>
      <w:r>
        <w:rPr>
          <w:rFonts w:ascii="Times New Roman" w:hAnsi="Times New Roman" w:cs="Times New Roman"/>
          <w:sz w:val="24"/>
          <w:szCs w:val="24"/>
        </w:rPr>
        <w:t xml:space="preserve"> filter produces smoothed estimates of the growth trajectory of actual GNP.  </w:t>
      </w:r>
      <w:r w:rsidR="00364F39">
        <w:rPr>
          <w:rFonts w:ascii="Times New Roman" w:hAnsi="Times New Roman" w:cs="Times New Roman"/>
          <w:sz w:val="24"/>
          <w:szCs w:val="24"/>
        </w:rPr>
        <w:t xml:space="preserve">Over the long run the growth rate of actual is likely to approximate the growth rate of potential. </w:t>
      </w:r>
      <w:r w:rsidRPr="00756DD4">
        <w:rPr>
          <w:rFonts w:ascii="Times New Roman" w:hAnsi="Times New Roman" w:cs="Times New Roman"/>
          <w:sz w:val="24"/>
          <w:szCs w:val="24"/>
        </w:rPr>
        <w:t xml:space="preserve">But what we need </w:t>
      </w:r>
      <w:r>
        <w:rPr>
          <w:rFonts w:ascii="Times New Roman" w:hAnsi="Times New Roman" w:cs="Times New Roman"/>
          <w:sz w:val="24"/>
          <w:szCs w:val="24"/>
        </w:rPr>
        <w:t xml:space="preserve">in order </w:t>
      </w:r>
      <w:r w:rsidRPr="00756DD4">
        <w:rPr>
          <w:rFonts w:ascii="Times New Roman" w:hAnsi="Times New Roman" w:cs="Times New Roman"/>
          <w:sz w:val="24"/>
          <w:szCs w:val="24"/>
        </w:rPr>
        <w:t xml:space="preserve">to calculate output gaps are estimates of </w:t>
      </w:r>
      <w:r w:rsidRPr="008A3195">
        <w:rPr>
          <w:rFonts w:ascii="Times New Roman" w:hAnsi="Times New Roman" w:cs="Times New Roman"/>
          <w:i/>
          <w:sz w:val="24"/>
          <w:szCs w:val="24"/>
        </w:rPr>
        <w:t>levels</w:t>
      </w:r>
      <w:r>
        <w:rPr>
          <w:rFonts w:ascii="Times New Roman" w:hAnsi="Times New Roman" w:cs="Times New Roman"/>
          <w:sz w:val="24"/>
          <w:szCs w:val="24"/>
        </w:rPr>
        <w:t>, particularly levels of potential output.</w:t>
      </w:r>
      <w:r w:rsidRPr="00756DD4">
        <w:rPr>
          <w:rFonts w:ascii="Times New Roman" w:hAnsi="Times New Roman" w:cs="Times New Roman"/>
          <w:sz w:val="24"/>
          <w:szCs w:val="24"/>
        </w:rPr>
        <w:t xml:space="preserve"> </w:t>
      </w:r>
      <w:r w:rsidRPr="008A3195">
        <w:rPr>
          <w:rFonts w:ascii="Times New Roman" w:hAnsi="Times New Roman" w:cs="Times New Roman"/>
          <w:bCs/>
          <w:sz w:val="24"/>
          <w:szCs w:val="24"/>
        </w:rPr>
        <w:t xml:space="preserve">The fact that output was </w:t>
      </w:r>
      <w:r w:rsidR="000C7121">
        <w:rPr>
          <w:rFonts w:ascii="Times New Roman" w:hAnsi="Times New Roman" w:cs="Times New Roman"/>
          <w:bCs/>
          <w:sz w:val="24"/>
          <w:szCs w:val="24"/>
        </w:rPr>
        <w:t xml:space="preserve">growing at </w:t>
      </w:r>
      <w:r w:rsidRPr="008A3195">
        <w:rPr>
          <w:rFonts w:ascii="Times New Roman" w:hAnsi="Times New Roman" w:cs="Times New Roman"/>
          <w:bCs/>
          <w:sz w:val="24"/>
          <w:szCs w:val="24"/>
        </w:rPr>
        <w:t xml:space="preserve">above filter-produced trend </w:t>
      </w:r>
      <w:r>
        <w:rPr>
          <w:rFonts w:ascii="Times New Roman" w:hAnsi="Times New Roman" w:cs="Times New Roman"/>
          <w:bCs/>
          <w:sz w:val="24"/>
          <w:szCs w:val="24"/>
        </w:rPr>
        <w:t xml:space="preserve">in a given year </w:t>
      </w:r>
      <w:r w:rsidRPr="008A3195">
        <w:rPr>
          <w:rFonts w:ascii="Times New Roman" w:hAnsi="Times New Roman" w:cs="Times New Roman"/>
          <w:bCs/>
          <w:sz w:val="24"/>
          <w:szCs w:val="24"/>
        </w:rPr>
        <w:lastRenderedPageBreak/>
        <w:t>doesn't necessarily mean it was above potential. The latter is a statement about levels, whereas the former is an observation about rates of growth. </w:t>
      </w:r>
      <w:r>
        <w:rPr>
          <w:rFonts w:ascii="Times New Roman" w:hAnsi="Times New Roman" w:cs="Times New Roman"/>
          <w:bCs/>
          <w:sz w:val="24"/>
          <w:szCs w:val="24"/>
        </w:rPr>
        <w:t xml:space="preserve"> Although RBC pioneers such as Prescott might have objected, others using RBC </w:t>
      </w:r>
      <w:r w:rsidR="00061CB8">
        <w:rPr>
          <w:rFonts w:ascii="Times New Roman" w:hAnsi="Times New Roman" w:cs="Times New Roman"/>
          <w:bCs/>
          <w:sz w:val="24"/>
          <w:szCs w:val="24"/>
        </w:rPr>
        <w:t>empirical methods, including Taylor, have adopted the practice</w:t>
      </w:r>
      <w:r w:rsidRPr="008A3195">
        <w:rPr>
          <w:rFonts w:ascii="Times New Roman" w:hAnsi="Times New Roman" w:cs="Times New Roman"/>
          <w:bCs/>
          <w:sz w:val="24"/>
          <w:szCs w:val="24"/>
        </w:rPr>
        <w:t xml:space="preserve"> of using </w:t>
      </w:r>
      <w:r>
        <w:rPr>
          <w:rFonts w:ascii="Times New Roman" w:hAnsi="Times New Roman" w:cs="Times New Roman"/>
          <w:bCs/>
          <w:sz w:val="24"/>
          <w:szCs w:val="24"/>
        </w:rPr>
        <w:t xml:space="preserve">the </w:t>
      </w:r>
      <w:r w:rsidR="004A307B">
        <w:rPr>
          <w:rFonts w:ascii="Times New Roman" w:hAnsi="Times New Roman" w:cs="Times New Roman"/>
          <w:bCs/>
          <w:sz w:val="24"/>
          <w:szCs w:val="24"/>
        </w:rPr>
        <w:t>HP</w:t>
      </w:r>
      <w:r>
        <w:rPr>
          <w:rFonts w:ascii="Times New Roman" w:hAnsi="Times New Roman" w:cs="Times New Roman"/>
          <w:bCs/>
          <w:sz w:val="24"/>
          <w:szCs w:val="24"/>
        </w:rPr>
        <w:t xml:space="preserve"> </w:t>
      </w:r>
      <w:r w:rsidRPr="008A3195">
        <w:rPr>
          <w:rFonts w:ascii="Times New Roman" w:hAnsi="Times New Roman" w:cs="Times New Roman"/>
          <w:bCs/>
          <w:sz w:val="24"/>
          <w:szCs w:val="24"/>
        </w:rPr>
        <w:t>filter to calculate trend from data on actual output and then using that calculated trend</w:t>
      </w:r>
      <w:r>
        <w:rPr>
          <w:rFonts w:ascii="Times New Roman" w:hAnsi="Times New Roman" w:cs="Times New Roman"/>
          <w:bCs/>
          <w:sz w:val="24"/>
          <w:szCs w:val="24"/>
        </w:rPr>
        <w:t>, interpreted as the evolution of potential</w:t>
      </w:r>
      <w:r w:rsidR="000C7121">
        <w:rPr>
          <w:rFonts w:ascii="Times New Roman" w:hAnsi="Times New Roman" w:cs="Times New Roman"/>
          <w:bCs/>
          <w:sz w:val="24"/>
          <w:szCs w:val="24"/>
        </w:rPr>
        <w:t>,</w:t>
      </w:r>
      <w:r w:rsidRPr="008A3195">
        <w:rPr>
          <w:rFonts w:ascii="Times New Roman" w:hAnsi="Times New Roman" w:cs="Times New Roman"/>
          <w:bCs/>
          <w:sz w:val="24"/>
          <w:szCs w:val="24"/>
        </w:rPr>
        <w:t xml:space="preserve"> to infer in a particular year whether we were above or below potential.  </w:t>
      </w:r>
    </w:p>
    <w:p w14:paraId="76DF2B10" w14:textId="0D96A3F9" w:rsidR="000C7121" w:rsidRDefault="00323450" w:rsidP="003B5A6A">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My methods will </w:t>
      </w:r>
      <w:r w:rsidR="005C783E">
        <w:rPr>
          <w:rFonts w:ascii="Times New Roman" w:hAnsi="Times New Roman" w:cs="Times New Roman"/>
          <w:sz w:val="24"/>
          <w:szCs w:val="24"/>
        </w:rPr>
        <w:t>be closer to Okun or Friedman than Lucas or</w:t>
      </w:r>
      <w:r w:rsidR="003B5A6A">
        <w:rPr>
          <w:rFonts w:ascii="Times New Roman" w:hAnsi="Times New Roman" w:cs="Times New Roman"/>
          <w:sz w:val="24"/>
          <w:szCs w:val="24"/>
        </w:rPr>
        <w:t xml:space="preserve"> Prescott:  a blend of data and narrative history, characterizable as the trends through peaks approach popular in the 1960s and 1970s (see Gibbs, 1995). I start by trying to identify particular years or months where the economy was at potential by searching for a combination of both high output/low unemployment and price stability. Such a combination should indicate points in time where the economy was at or close to the “natural” or non-accelerating inflation rate of unemployment associated with natural or potential output, where, by definition, the output gap would be </w:t>
      </w:r>
      <w:r w:rsidR="00EE00EC">
        <w:rPr>
          <w:rFonts w:ascii="Times New Roman" w:hAnsi="Times New Roman" w:cs="Times New Roman"/>
          <w:sz w:val="24"/>
          <w:szCs w:val="24"/>
        </w:rPr>
        <w:t>zero</w:t>
      </w:r>
      <w:r w:rsidR="003B5A6A">
        <w:rPr>
          <w:rFonts w:ascii="Times New Roman" w:hAnsi="Times New Roman" w:cs="Times New Roman"/>
          <w:sz w:val="24"/>
          <w:szCs w:val="24"/>
        </w:rPr>
        <w:t>.</w:t>
      </w:r>
      <w:r w:rsidR="000C7121">
        <w:rPr>
          <w:rFonts w:ascii="Times New Roman" w:hAnsi="Times New Roman" w:cs="Times New Roman"/>
          <w:sz w:val="24"/>
          <w:szCs w:val="24"/>
        </w:rPr>
        <w:t xml:space="preserve"> </w:t>
      </w:r>
      <w:r w:rsidR="003B5A6A">
        <w:rPr>
          <w:rFonts w:ascii="Times New Roman" w:hAnsi="Times New Roman" w:cs="Times New Roman"/>
          <w:bCs/>
          <w:sz w:val="24"/>
          <w:szCs w:val="24"/>
        </w:rPr>
        <w:t xml:space="preserve">I </w:t>
      </w:r>
      <w:r w:rsidR="003B5A6A" w:rsidRPr="008A3195">
        <w:rPr>
          <w:rFonts w:ascii="Times New Roman" w:hAnsi="Times New Roman" w:cs="Times New Roman"/>
          <w:bCs/>
          <w:sz w:val="24"/>
          <w:szCs w:val="24"/>
        </w:rPr>
        <w:t>then us</w:t>
      </w:r>
      <w:r w:rsidR="003B5A6A">
        <w:rPr>
          <w:rFonts w:ascii="Times New Roman" w:hAnsi="Times New Roman" w:cs="Times New Roman"/>
          <w:bCs/>
          <w:sz w:val="24"/>
          <w:szCs w:val="24"/>
        </w:rPr>
        <w:t>e output for</w:t>
      </w:r>
      <w:r w:rsidR="003B5A6A" w:rsidRPr="008A3195">
        <w:rPr>
          <w:rFonts w:ascii="Times New Roman" w:hAnsi="Times New Roman" w:cs="Times New Roman"/>
          <w:bCs/>
          <w:sz w:val="24"/>
          <w:szCs w:val="24"/>
        </w:rPr>
        <w:t xml:space="preserve"> </w:t>
      </w:r>
      <w:r w:rsidR="003B5A6A">
        <w:rPr>
          <w:rFonts w:ascii="Times New Roman" w:hAnsi="Times New Roman" w:cs="Times New Roman"/>
          <w:bCs/>
          <w:sz w:val="24"/>
          <w:szCs w:val="24"/>
        </w:rPr>
        <w:t xml:space="preserve">years when the economy was at or close to potential </w:t>
      </w:r>
      <w:r w:rsidR="003B5A6A" w:rsidRPr="008A3195">
        <w:rPr>
          <w:rFonts w:ascii="Times New Roman" w:hAnsi="Times New Roman" w:cs="Times New Roman"/>
          <w:bCs/>
          <w:sz w:val="24"/>
          <w:szCs w:val="24"/>
        </w:rPr>
        <w:t>to infer trend</w:t>
      </w:r>
      <w:r w:rsidR="003B5A6A">
        <w:rPr>
          <w:rFonts w:ascii="Times New Roman" w:hAnsi="Times New Roman" w:cs="Times New Roman"/>
          <w:bCs/>
          <w:sz w:val="24"/>
          <w:szCs w:val="24"/>
        </w:rPr>
        <w:t>, assuming</w:t>
      </w:r>
      <w:r w:rsidR="003B5A6A" w:rsidRPr="009F3FFE">
        <w:rPr>
          <w:rFonts w:ascii="Times New Roman" w:hAnsi="Times New Roman" w:cs="Times New Roman"/>
          <w:sz w:val="24"/>
          <w:szCs w:val="24"/>
        </w:rPr>
        <w:t xml:space="preserve"> that </w:t>
      </w:r>
      <w:r w:rsidR="003B5A6A">
        <w:rPr>
          <w:rFonts w:ascii="Times New Roman" w:hAnsi="Times New Roman" w:cs="Times New Roman"/>
          <w:sz w:val="24"/>
          <w:szCs w:val="24"/>
        </w:rPr>
        <w:t>p</w:t>
      </w:r>
      <w:r w:rsidR="003B5A6A" w:rsidRPr="009F3FFE">
        <w:rPr>
          <w:rFonts w:ascii="Times New Roman" w:hAnsi="Times New Roman" w:cs="Times New Roman"/>
          <w:sz w:val="24"/>
          <w:szCs w:val="24"/>
        </w:rPr>
        <w:t xml:space="preserve">otential grew at a constant continuously compounded rate between </w:t>
      </w:r>
      <w:r w:rsidR="003B5A6A">
        <w:rPr>
          <w:rFonts w:ascii="Times New Roman" w:hAnsi="Times New Roman" w:cs="Times New Roman"/>
          <w:sz w:val="24"/>
          <w:szCs w:val="24"/>
        </w:rPr>
        <w:t xml:space="preserve">and beyond them. </w:t>
      </w:r>
    </w:p>
    <w:p w14:paraId="16CCB73E" w14:textId="1F3E3441" w:rsidR="003B5A6A" w:rsidRDefault="003B5A6A" w:rsidP="003B5A6A">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That assumption, of course, is not likely to be exactly true. That said, I insist that, especially retrospectively, identification of a period </w:t>
      </w:r>
      <w:r w:rsidR="00B23CC9">
        <w:rPr>
          <w:rFonts w:ascii="Times New Roman" w:hAnsi="Times New Roman" w:cs="Times New Roman"/>
          <w:sz w:val="24"/>
          <w:szCs w:val="24"/>
        </w:rPr>
        <w:t xml:space="preserve">as </w:t>
      </w:r>
      <w:r>
        <w:rPr>
          <w:rFonts w:ascii="Times New Roman" w:hAnsi="Times New Roman" w:cs="Times New Roman"/>
          <w:sz w:val="24"/>
          <w:szCs w:val="24"/>
        </w:rPr>
        <w:t>“above potential” must be validated by evidence of an actual acceleration of inflation.</w:t>
      </w:r>
      <w:r w:rsidRPr="00206515">
        <w:rPr>
          <w:rFonts w:ascii="Times New Roman" w:hAnsi="Times New Roman" w:cs="Times New Roman"/>
        </w:rPr>
        <w:t xml:space="preserve"> </w:t>
      </w:r>
      <w:r w:rsidRPr="007C5E79">
        <w:rPr>
          <w:rFonts w:ascii="Times New Roman" w:hAnsi="Times New Roman" w:cs="Times New Roman"/>
          <w:sz w:val="24"/>
          <w:szCs w:val="24"/>
        </w:rPr>
        <w:t>This principle, w</w:t>
      </w:r>
      <w:r>
        <w:rPr>
          <w:rFonts w:ascii="Times New Roman" w:hAnsi="Times New Roman" w:cs="Times New Roman"/>
          <w:sz w:val="24"/>
          <w:szCs w:val="24"/>
        </w:rPr>
        <w:t>hich until recently was</w:t>
      </w:r>
      <w:r w:rsidRPr="007C5E79">
        <w:rPr>
          <w:rFonts w:ascii="Times New Roman" w:hAnsi="Times New Roman" w:cs="Times New Roman"/>
          <w:sz w:val="24"/>
          <w:szCs w:val="24"/>
        </w:rPr>
        <w:t xml:space="preserve"> uncontroversial, and a feature of every mainstream macro textbook, c</w:t>
      </w:r>
      <w:r>
        <w:rPr>
          <w:rFonts w:ascii="Times New Roman" w:hAnsi="Times New Roman" w:cs="Times New Roman"/>
          <w:sz w:val="24"/>
          <w:szCs w:val="24"/>
        </w:rPr>
        <w:t>omes under explicit</w:t>
      </w:r>
      <w:r w:rsidRPr="007C5E79">
        <w:rPr>
          <w:rFonts w:ascii="Times New Roman" w:hAnsi="Times New Roman" w:cs="Times New Roman"/>
          <w:sz w:val="24"/>
          <w:szCs w:val="24"/>
        </w:rPr>
        <w:t xml:space="preserve"> attack in the 2015 B</w:t>
      </w:r>
      <w:r>
        <w:rPr>
          <w:rFonts w:ascii="Times New Roman" w:hAnsi="Times New Roman" w:cs="Times New Roman"/>
          <w:sz w:val="24"/>
          <w:szCs w:val="24"/>
        </w:rPr>
        <w:t xml:space="preserve">ureau for International Settlements </w:t>
      </w:r>
      <w:r w:rsidRPr="00CA613A">
        <w:rPr>
          <w:rFonts w:ascii="Times New Roman" w:hAnsi="Times New Roman" w:cs="Times New Roman"/>
          <w:sz w:val="24"/>
          <w:szCs w:val="24"/>
          <w:u w:val="single"/>
        </w:rPr>
        <w:t>Annual Report</w:t>
      </w:r>
      <w:r w:rsidRPr="007C5E79">
        <w:rPr>
          <w:rFonts w:ascii="Times New Roman" w:hAnsi="Times New Roman" w:cs="Times New Roman"/>
          <w:sz w:val="24"/>
          <w:szCs w:val="24"/>
        </w:rPr>
        <w:t>, which argues that “the behaviour of inflation may not be a fully reliable guide to sustainable (or potential) output” (2015, p. 14).  Lest the reader miss the significance of th</w:t>
      </w:r>
      <w:r>
        <w:rPr>
          <w:rFonts w:ascii="Times New Roman" w:hAnsi="Times New Roman" w:cs="Times New Roman"/>
          <w:sz w:val="24"/>
          <w:szCs w:val="24"/>
        </w:rPr>
        <w:t>is</w:t>
      </w:r>
      <w:r w:rsidRPr="007C5E79">
        <w:rPr>
          <w:rFonts w:ascii="Times New Roman" w:hAnsi="Times New Roman" w:cs="Times New Roman"/>
          <w:sz w:val="24"/>
          <w:szCs w:val="24"/>
        </w:rPr>
        <w:t xml:space="preserve"> claim, and the challenge to established </w:t>
      </w:r>
      <w:r w:rsidR="00323450">
        <w:rPr>
          <w:rFonts w:ascii="Times New Roman" w:hAnsi="Times New Roman" w:cs="Times New Roman"/>
          <w:sz w:val="24"/>
          <w:szCs w:val="24"/>
        </w:rPr>
        <w:t>w</w:t>
      </w:r>
      <w:r w:rsidRPr="007C5E79">
        <w:rPr>
          <w:rFonts w:ascii="Times New Roman" w:hAnsi="Times New Roman" w:cs="Times New Roman"/>
          <w:sz w:val="24"/>
          <w:szCs w:val="24"/>
        </w:rPr>
        <w:t>ays of thinking it represents, it is italicized.</w:t>
      </w:r>
      <w:r>
        <w:rPr>
          <w:rFonts w:ascii="Times New Roman" w:hAnsi="Times New Roman" w:cs="Times New Roman"/>
          <w:sz w:val="24"/>
          <w:szCs w:val="24"/>
        </w:rPr>
        <w:t xml:space="preserve">  </w:t>
      </w:r>
    </w:p>
    <w:p w14:paraId="0D1396E3" w14:textId="6A8A1008" w:rsidR="00B23CC9" w:rsidRDefault="00206515" w:rsidP="00F56339">
      <w:pPr>
        <w:spacing w:line="480" w:lineRule="auto"/>
        <w:ind w:firstLine="576"/>
        <w:rPr>
          <w:rFonts w:ascii="Times New Roman" w:hAnsi="Times New Roman" w:cs="Times New Roman"/>
          <w:b/>
          <w:sz w:val="24"/>
          <w:szCs w:val="24"/>
        </w:rPr>
      </w:pPr>
      <w:r>
        <w:rPr>
          <w:rFonts w:ascii="Times New Roman" w:hAnsi="Times New Roman" w:cs="Times New Roman"/>
          <w:sz w:val="24"/>
          <w:szCs w:val="24"/>
        </w:rPr>
        <w:lastRenderedPageBreak/>
        <w:t>RBC proponent</w:t>
      </w:r>
      <w:r w:rsidR="00AB4603">
        <w:rPr>
          <w:rFonts w:ascii="Times New Roman" w:hAnsi="Times New Roman" w:cs="Times New Roman"/>
          <w:sz w:val="24"/>
          <w:szCs w:val="24"/>
        </w:rPr>
        <w:t>s</w:t>
      </w:r>
      <w:r>
        <w:rPr>
          <w:rFonts w:ascii="Times New Roman" w:hAnsi="Times New Roman" w:cs="Times New Roman"/>
          <w:sz w:val="24"/>
          <w:szCs w:val="24"/>
        </w:rPr>
        <w:t xml:space="preserve"> have subsequently </w:t>
      </w:r>
      <w:r w:rsidRPr="007C5E79">
        <w:rPr>
          <w:rFonts w:ascii="Times New Roman" w:hAnsi="Times New Roman" w:cs="Times New Roman"/>
          <w:sz w:val="24"/>
          <w:szCs w:val="24"/>
        </w:rPr>
        <w:t xml:space="preserve">suggested </w:t>
      </w:r>
      <w:r w:rsidR="00323450" w:rsidRPr="007C5E79">
        <w:rPr>
          <w:rFonts w:ascii="Times New Roman" w:hAnsi="Times New Roman" w:cs="Times New Roman"/>
          <w:sz w:val="24"/>
          <w:szCs w:val="24"/>
        </w:rPr>
        <w:t>that</w:t>
      </w:r>
      <w:r w:rsidR="005C783E">
        <w:rPr>
          <w:rFonts w:ascii="Times New Roman" w:hAnsi="Times New Roman" w:cs="Times New Roman"/>
          <w:sz w:val="24"/>
          <w:szCs w:val="24"/>
        </w:rPr>
        <w:t xml:space="preserve"> if we insist on talking</w:t>
      </w:r>
      <w:r w:rsidR="00323450">
        <w:rPr>
          <w:rFonts w:ascii="Times New Roman" w:hAnsi="Times New Roman" w:cs="Times New Roman"/>
          <w:sz w:val="24"/>
          <w:szCs w:val="24"/>
        </w:rPr>
        <w:t xml:space="preserve"> about </w:t>
      </w:r>
      <w:r w:rsidRPr="007C5E79">
        <w:rPr>
          <w:rFonts w:ascii="Times New Roman" w:hAnsi="Times New Roman" w:cs="Times New Roman"/>
          <w:sz w:val="24"/>
          <w:szCs w:val="24"/>
        </w:rPr>
        <w:t xml:space="preserve">an output gap </w:t>
      </w:r>
      <w:r w:rsidR="00323450">
        <w:rPr>
          <w:rFonts w:ascii="Times New Roman" w:hAnsi="Times New Roman" w:cs="Times New Roman"/>
          <w:sz w:val="24"/>
          <w:szCs w:val="24"/>
        </w:rPr>
        <w:t xml:space="preserve">it </w:t>
      </w:r>
      <w:r w:rsidRPr="007C5E79">
        <w:rPr>
          <w:rFonts w:ascii="Times New Roman" w:hAnsi="Times New Roman" w:cs="Times New Roman"/>
          <w:sz w:val="24"/>
          <w:szCs w:val="24"/>
        </w:rPr>
        <w:t xml:space="preserve">might be thought of as the difference between where we </w:t>
      </w:r>
      <w:r w:rsidR="0078367E">
        <w:rPr>
          <w:rFonts w:ascii="Times New Roman" w:hAnsi="Times New Roman" w:cs="Times New Roman"/>
          <w:sz w:val="24"/>
          <w:szCs w:val="24"/>
        </w:rPr>
        <w:t>are</w:t>
      </w:r>
      <w:r w:rsidRPr="007C5E79">
        <w:rPr>
          <w:rFonts w:ascii="Times New Roman" w:hAnsi="Times New Roman" w:cs="Times New Roman"/>
          <w:sz w:val="24"/>
          <w:szCs w:val="24"/>
        </w:rPr>
        <w:t xml:space="preserve"> now and an ideal state in which all favored structural reforms, resulting in a pe</w:t>
      </w:r>
      <w:r>
        <w:rPr>
          <w:rFonts w:ascii="Times New Roman" w:hAnsi="Times New Roman" w:cs="Times New Roman"/>
          <w:sz w:val="24"/>
          <w:szCs w:val="24"/>
        </w:rPr>
        <w:t>rfectly competitive economy, have</w:t>
      </w:r>
      <w:r w:rsidRPr="007C5E79">
        <w:rPr>
          <w:rFonts w:ascii="Times New Roman" w:hAnsi="Times New Roman" w:cs="Times New Roman"/>
          <w:sz w:val="24"/>
          <w:szCs w:val="24"/>
        </w:rPr>
        <w:t xml:space="preserve"> been implemented</w:t>
      </w:r>
      <w:r w:rsidRPr="00206515">
        <w:rPr>
          <w:rFonts w:ascii="Times New Roman" w:hAnsi="Times New Roman" w:cs="Times New Roman"/>
          <w:sz w:val="24"/>
          <w:szCs w:val="24"/>
        </w:rPr>
        <w:t>.</w:t>
      </w:r>
      <w:r>
        <w:rPr>
          <w:rFonts w:ascii="Times New Roman" w:hAnsi="Times New Roman" w:cs="Times New Roman"/>
          <w:sz w:val="24"/>
          <w:szCs w:val="24"/>
        </w:rPr>
        <w:t xml:space="preserve"> </w:t>
      </w:r>
      <w:r w:rsidR="00D05C12">
        <w:rPr>
          <w:rFonts w:ascii="Times New Roman" w:hAnsi="Times New Roman" w:cs="Times New Roman"/>
          <w:sz w:val="24"/>
          <w:szCs w:val="24"/>
        </w:rPr>
        <w:t>New Keynesians walk this back somewhat by restricting the counterfactual to the elimination of nominal wage and price rigidities.  Traditional Keynesians, a</w:t>
      </w:r>
      <w:r w:rsidR="00DB044E">
        <w:rPr>
          <w:rFonts w:ascii="Times New Roman" w:hAnsi="Times New Roman" w:cs="Times New Roman"/>
          <w:sz w:val="24"/>
          <w:szCs w:val="24"/>
        </w:rPr>
        <w:t xml:space="preserve">s well as </w:t>
      </w:r>
      <w:r w:rsidR="00F6530C">
        <w:rPr>
          <w:rFonts w:ascii="Times New Roman" w:hAnsi="Times New Roman" w:cs="Times New Roman"/>
          <w:sz w:val="24"/>
          <w:szCs w:val="24"/>
        </w:rPr>
        <w:t xml:space="preserve">Milton </w:t>
      </w:r>
      <w:r w:rsidR="00D05C12">
        <w:rPr>
          <w:rFonts w:ascii="Times New Roman" w:hAnsi="Times New Roman" w:cs="Times New Roman"/>
          <w:sz w:val="24"/>
          <w:szCs w:val="24"/>
        </w:rPr>
        <w:t xml:space="preserve">Friedman, took the </w:t>
      </w:r>
      <w:r w:rsidR="001C6C15">
        <w:rPr>
          <w:rFonts w:ascii="Times New Roman" w:hAnsi="Times New Roman" w:cs="Times New Roman"/>
          <w:sz w:val="24"/>
          <w:szCs w:val="24"/>
        </w:rPr>
        <w:t xml:space="preserve">economic system </w:t>
      </w:r>
      <w:r w:rsidR="00D05C12">
        <w:rPr>
          <w:rFonts w:ascii="Times New Roman" w:hAnsi="Times New Roman" w:cs="Times New Roman"/>
          <w:sz w:val="24"/>
          <w:szCs w:val="24"/>
        </w:rPr>
        <w:t xml:space="preserve">more or less as it was and focused on the </w:t>
      </w:r>
      <w:r w:rsidR="00203C4A">
        <w:rPr>
          <w:rFonts w:ascii="Times New Roman" w:hAnsi="Times New Roman" w:cs="Times New Roman"/>
          <w:sz w:val="24"/>
          <w:szCs w:val="24"/>
        </w:rPr>
        <w:t xml:space="preserve">available </w:t>
      </w:r>
      <w:r w:rsidR="00D05C12">
        <w:rPr>
          <w:rFonts w:ascii="Times New Roman" w:hAnsi="Times New Roman" w:cs="Times New Roman"/>
          <w:sz w:val="24"/>
          <w:szCs w:val="24"/>
        </w:rPr>
        <w:t>policy levers (fiscal and monetary policy) that might close a gap.</w:t>
      </w:r>
    </w:p>
    <w:p w14:paraId="70DC56B6" w14:textId="62FC88A9" w:rsidR="005C783E" w:rsidRDefault="005C783E" w:rsidP="005C783E">
      <w:pPr>
        <w:spacing w:line="480" w:lineRule="auto"/>
        <w:rPr>
          <w:rFonts w:ascii="Times New Roman" w:hAnsi="Times New Roman" w:cs="Times New Roman"/>
          <w:b/>
          <w:sz w:val="24"/>
          <w:szCs w:val="24"/>
        </w:rPr>
      </w:pPr>
      <w:r>
        <w:rPr>
          <w:rFonts w:ascii="Times New Roman" w:hAnsi="Times New Roman" w:cs="Times New Roman"/>
          <w:b/>
          <w:sz w:val="24"/>
          <w:szCs w:val="24"/>
        </w:rPr>
        <w:t>Actual Output</w:t>
      </w:r>
    </w:p>
    <w:p w14:paraId="4FF77CAD" w14:textId="5A9EED7B" w:rsidR="005C783E" w:rsidRPr="009F3FFE" w:rsidRDefault="00352820" w:rsidP="005C783E">
      <w:pPr>
        <w:spacing w:line="480" w:lineRule="auto"/>
        <w:ind w:firstLine="576"/>
        <w:rPr>
          <w:rFonts w:ascii="Times New Roman" w:hAnsi="Times New Roman" w:cs="Times New Roman"/>
          <w:sz w:val="24"/>
          <w:szCs w:val="24"/>
        </w:rPr>
      </w:pPr>
      <w:r>
        <w:rPr>
          <w:rFonts w:ascii="Times New Roman" w:hAnsi="Times New Roman" w:cs="Times New Roman"/>
          <w:sz w:val="24"/>
          <w:szCs w:val="24"/>
        </w:rPr>
        <w:t>To gauge an output gap</w:t>
      </w:r>
      <w:r w:rsidRPr="00126FF7">
        <w:rPr>
          <w:rFonts w:ascii="Times New Roman" w:hAnsi="Times New Roman" w:cs="Times New Roman"/>
          <w:sz w:val="24"/>
          <w:szCs w:val="24"/>
        </w:rPr>
        <w:t xml:space="preserve"> </w:t>
      </w:r>
      <w:r>
        <w:rPr>
          <w:rFonts w:ascii="Times New Roman" w:hAnsi="Times New Roman" w:cs="Times New Roman"/>
          <w:sz w:val="24"/>
          <w:szCs w:val="24"/>
        </w:rPr>
        <w:t>one</w:t>
      </w:r>
      <w:r w:rsidR="00A13CF9">
        <w:rPr>
          <w:rFonts w:ascii="Times New Roman" w:hAnsi="Times New Roman" w:cs="Times New Roman"/>
          <w:sz w:val="24"/>
          <w:szCs w:val="24"/>
        </w:rPr>
        <w:t xml:space="preserve"> </w:t>
      </w:r>
      <w:r w:rsidR="005C783E">
        <w:rPr>
          <w:rFonts w:ascii="Times New Roman" w:hAnsi="Times New Roman" w:cs="Times New Roman"/>
          <w:sz w:val="24"/>
          <w:szCs w:val="24"/>
        </w:rPr>
        <w:t>needs estimates of both actual and potential. As Orphanides and van Norden (2002) have noted, constructing a measure of an output gap in real time is</w:t>
      </w:r>
      <w:r w:rsidR="00A13CF9">
        <w:rPr>
          <w:rFonts w:ascii="Times New Roman" w:hAnsi="Times New Roman" w:cs="Times New Roman"/>
          <w:sz w:val="24"/>
          <w:szCs w:val="24"/>
        </w:rPr>
        <w:t xml:space="preserve"> e</w:t>
      </w:r>
      <w:r w:rsidR="00535C6B">
        <w:rPr>
          <w:rFonts w:ascii="Times New Roman" w:hAnsi="Times New Roman" w:cs="Times New Roman"/>
          <w:sz w:val="24"/>
          <w:szCs w:val="24"/>
        </w:rPr>
        <w:t>s</w:t>
      </w:r>
      <w:r w:rsidR="00A13CF9">
        <w:rPr>
          <w:rFonts w:ascii="Times New Roman" w:hAnsi="Times New Roman" w:cs="Times New Roman"/>
          <w:sz w:val="24"/>
          <w:szCs w:val="24"/>
        </w:rPr>
        <w:t>pecially</w:t>
      </w:r>
      <w:r w:rsidR="005C783E">
        <w:rPr>
          <w:rFonts w:ascii="Times New Roman" w:hAnsi="Times New Roman" w:cs="Times New Roman"/>
          <w:sz w:val="24"/>
          <w:szCs w:val="24"/>
        </w:rPr>
        <w:t xml:space="preserve"> </w:t>
      </w:r>
      <w:r>
        <w:rPr>
          <w:rFonts w:ascii="Times New Roman" w:hAnsi="Times New Roman" w:cs="Times New Roman"/>
          <w:sz w:val="24"/>
          <w:szCs w:val="24"/>
        </w:rPr>
        <w:t>challenging.</w:t>
      </w:r>
      <w:r w:rsidR="005C783E">
        <w:rPr>
          <w:rFonts w:ascii="Times New Roman" w:hAnsi="Times New Roman" w:cs="Times New Roman"/>
          <w:sz w:val="24"/>
          <w:szCs w:val="24"/>
        </w:rPr>
        <w:t xml:space="preserve"> A</w:t>
      </w:r>
      <w:r>
        <w:rPr>
          <w:rFonts w:ascii="Times New Roman" w:hAnsi="Times New Roman" w:cs="Times New Roman"/>
          <w:sz w:val="24"/>
          <w:szCs w:val="24"/>
        </w:rPr>
        <w:t>side from the difficulties</w:t>
      </w:r>
      <w:r w:rsidR="005C783E">
        <w:rPr>
          <w:rFonts w:ascii="Times New Roman" w:hAnsi="Times New Roman" w:cs="Times New Roman"/>
          <w:sz w:val="24"/>
          <w:szCs w:val="24"/>
        </w:rPr>
        <w:t xml:space="preserve"> of estimating potential, real time measures</w:t>
      </w:r>
      <w:r>
        <w:rPr>
          <w:rFonts w:ascii="Times New Roman" w:hAnsi="Times New Roman" w:cs="Times New Roman"/>
          <w:sz w:val="24"/>
          <w:szCs w:val="24"/>
        </w:rPr>
        <w:t xml:space="preserve"> of actual are</w:t>
      </w:r>
      <w:r w:rsidR="005C783E">
        <w:rPr>
          <w:rFonts w:ascii="Times New Roman" w:hAnsi="Times New Roman" w:cs="Times New Roman"/>
          <w:sz w:val="24"/>
          <w:szCs w:val="24"/>
        </w:rPr>
        <w:t xml:space="preserve"> </w:t>
      </w:r>
      <w:r w:rsidR="00A13CF9">
        <w:rPr>
          <w:rFonts w:ascii="Times New Roman" w:hAnsi="Times New Roman" w:cs="Times New Roman"/>
          <w:sz w:val="24"/>
          <w:szCs w:val="24"/>
        </w:rPr>
        <w:t xml:space="preserve">at best </w:t>
      </w:r>
      <w:r>
        <w:rPr>
          <w:rFonts w:ascii="Times New Roman" w:hAnsi="Times New Roman" w:cs="Times New Roman"/>
          <w:sz w:val="24"/>
          <w:szCs w:val="24"/>
        </w:rPr>
        <w:t>preliminary and</w:t>
      </w:r>
      <w:r w:rsidR="00A13CF9">
        <w:rPr>
          <w:rFonts w:ascii="Times New Roman" w:hAnsi="Times New Roman" w:cs="Times New Roman"/>
          <w:sz w:val="24"/>
          <w:szCs w:val="24"/>
        </w:rPr>
        <w:t xml:space="preserve"> often</w:t>
      </w:r>
      <w:r>
        <w:rPr>
          <w:rFonts w:ascii="Times New Roman" w:hAnsi="Times New Roman" w:cs="Times New Roman"/>
          <w:sz w:val="24"/>
          <w:szCs w:val="24"/>
        </w:rPr>
        <w:t xml:space="preserve"> subject to subsequent</w:t>
      </w:r>
      <w:r w:rsidR="005C783E">
        <w:rPr>
          <w:rFonts w:ascii="Times New Roman" w:hAnsi="Times New Roman" w:cs="Times New Roman"/>
          <w:sz w:val="24"/>
          <w:szCs w:val="24"/>
        </w:rPr>
        <w:t xml:space="preserve"> revision</w:t>
      </w:r>
      <w:r>
        <w:rPr>
          <w:rFonts w:ascii="Times New Roman" w:hAnsi="Times New Roman" w:cs="Times New Roman"/>
          <w:sz w:val="24"/>
          <w:szCs w:val="24"/>
        </w:rPr>
        <w:t>.  This</w:t>
      </w:r>
      <w:r w:rsidR="005C783E">
        <w:rPr>
          <w:rFonts w:ascii="Times New Roman" w:hAnsi="Times New Roman" w:cs="Times New Roman"/>
          <w:sz w:val="24"/>
          <w:szCs w:val="24"/>
        </w:rPr>
        <w:t xml:space="preserve"> contributes additional uncertainty about the size of a possible gap.  If a gap is estimated to be larger than it actually is, inflation may result</w:t>
      </w:r>
      <w:r w:rsidR="0099387D">
        <w:rPr>
          <w:rFonts w:ascii="Times New Roman" w:hAnsi="Times New Roman" w:cs="Times New Roman"/>
          <w:sz w:val="24"/>
          <w:szCs w:val="24"/>
        </w:rPr>
        <w:t>, because monetary and fiscal policy may be too loose.</w:t>
      </w:r>
      <w:r w:rsidR="005C783E">
        <w:rPr>
          <w:rFonts w:ascii="Times New Roman" w:hAnsi="Times New Roman" w:cs="Times New Roman"/>
          <w:sz w:val="24"/>
          <w:szCs w:val="24"/>
        </w:rPr>
        <w:t xml:space="preserve">  If estimated to be smaller than it actually is, unnecessary unemployment and output loss may be the consequence.  </w:t>
      </w:r>
    </w:p>
    <w:p w14:paraId="6A6FE966" w14:textId="5971812E" w:rsidR="00EC33EF" w:rsidRDefault="005C783E" w:rsidP="005C783E">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The challenge </w:t>
      </w:r>
      <w:r w:rsidR="00A13CF9">
        <w:rPr>
          <w:rFonts w:ascii="Times New Roman" w:hAnsi="Times New Roman" w:cs="Times New Roman"/>
          <w:sz w:val="24"/>
          <w:szCs w:val="24"/>
        </w:rPr>
        <w:t xml:space="preserve">of obtaining output gap estimates </w:t>
      </w:r>
      <w:r>
        <w:rPr>
          <w:rFonts w:ascii="Times New Roman" w:hAnsi="Times New Roman" w:cs="Times New Roman"/>
          <w:sz w:val="24"/>
          <w:szCs w:val="24"/>
        </w:rPr>
        <w:t>is</w:t>
      </w:r>
      <w:r w:rsidR="00B23CC9">
        <w:rPr>
          <w:rFonts w:ascii="Times New Roman" w:hAnsi="Times New Roman" w:cs="Times New Roman"/>
          <w:sz w:val="24"/>
          <w:szCs w:val="24"/>
        </w:rPr>
        <w:t>, however,</w:t>
      </w:r>
      <w:r>
        <w:rPr>
          <w:rFonts w:ascii="Times New Roman" w:hAnsi="Times New Roman" w:cs="Times New Roman"/>
          <w:sz w:val="24"/>
          <w:szCs w:val="24"/>
        </w:rPr>
        <w:t xml:space="preserve"> </w:t>
      </w:r>
      <w:r w:rsidR="00352820">
        <w:rPr>
          <w:rFonts w:ascii="Times New Roman" w:hAnsi="Times New Roman" w:cs="Times New Roman"/>
          <w:sz w:val="24"/>
          <w:szCs w:val="24"/>
        </w:rPr>
        <w:t xml:space="preserve">not </w:t>
      </w:r>
      <w:r w:rsidR="00A13CF9">
        <w:rPr>
          <w:rFonts w:ascii="Times New Roman" w:hAnsi="Times New Roman" w:cs="Times New Roman"/>
          <w:sz w:val="24"/>
          <w:szCs w:val="24"/>
        </w:rPr>
        <w:t xml:space="preserve">necessarily </w:t>
      </w:r>
      <w:r>
        <w:rPr>
          <w:rFonts w:ascii="Times New Roman" w:hAnsi="Times New Roman" w:cs="Times New Roman"/>
          <w:sz w:val="24"/>
          <w:szCs w:val="24"/>
        </w:rPr>
        <w:t xml:space="preserve">easier when addressing historical data.  The Bureau of Economic Analysis maintains estimates of actual GNP going back to 1929.  These are </w:t>
      </w:r>
      <w:r w:rsidR="00A13CF9">
        <w:rPr>
          <w:rFonts w:ascii="Times New Roman" w:hAnsi="Times New Roman" w:cs="Times New Roman"/>
          <w:sz w:val="24"/>
          <w:szCs w:val="24"/>
        </w:rPr>
        <w:t>of course no longer “preliminary”,</w:t>
      </w:r>
      <w:r>
        <w:rPr>
          <w:rFonts w:ascii="Times New Roman" w:hAnsi="Times New Roman" w:cs="Times New Roman"/>
          <w:sz w:val="24"/>
          <w:szCs w:val="24"/>
        </w:rPr>
        <w:t xml:space="preserve"> although still subject to </w:t>
      </w:r>
      <w:r w:rsidR="00352820">
        <w:rPr>
          <w:rFonts w:ascii="Times New Roman" w:hAnsi="Times New Roman" w:cs="Times New Roman"/>
          <w:sz w:val="24"/>
          <w:szCs w:val="24"/>
        </w:rPr>
        <w:t>(</w:t>
      </w:r>
      <w:r>
        <w:rPr>
          <w:rFonts w:ascii="Times New Roman" w:hAnsi="Times New Roman" w:cs="Times New Roman"/>
          <w:sz w:val="24"/>
          <w:szCs w:val="24"/>
        </w:rPr>
        <w:t>less frequent</w:t>
      </w:r>
      <w:r w:rsidR="00352820">
        <w:rPr>
          <w:rFonts w:ascii="Times New Roman" w:hAnsi="Times New Roman" w:cs="Times New Roman"/>
          <w:sz w:val="24"/>
          <w:szCs w:val="24"/>
        </w:rPr>
        <w:t>)</w:t>
      </w:r>
      <w:r>
        <w:rPr>
          <w:rFonts w:ascii="Times New Roman" w:hAnsi="Times New Roman" w:cs="Times New Roman"/>
          <w:sz w:val="24"/>
          <w:szCs w:val="24"/>
        </w:rPr>
        <w:t xml:space="preserve"> revision as, for example, when chained index methods were introduced.</w:t>
      </w:r>
      <w:r w:rsidR="00352820">
        <w:rPr>
          <w:rFonts w:ascii="Times New Roman" w:hAnsi="Times New Roman" w:cs="Times New Roman"/>
          <w:sz w:val="24"/>
          <w:szCs w:val="24"/>
        </w:rPr>
        <w:t xml:space="preserve">  Estimates prior to 1929 </w:t>
      </w:r>
      <w:r>
        <w:rPr>
          <w:rFonts w:ascii="Times New Roman" w:hAnsi="Times New Roman" w:cs="Times New Roman"/>
          <w:sz w:val="24"/>
          <w:szCs w:val="24"/>
        </w:rPr>
        <w:t>have engendered lively controversy in recent years.</w:t>
      </w:r>
      <w:r w:rsidRPr="009F3FFE">
        <w:rPr>
          <w:rFonts w:ascii="Times New Roman" w:hAnsi="Times New Roman" w:cs="Times New Roman"/>
          <w:sz w:val="24"/>
          <w:szCs w:val="24"/>
        </w:rPr>
        <w:t xml:space="preserve">  Simon Kuznets</w:t>
      </w:r>
      <w:r>
        <w:rPr>
          <w:rFonts w:ascii="Times New Roman" w:hAnsi="Times New Roman" w:cs="Times New Roman"/>
          <w:sz w:val="24"/>
          <w:szCs w:val="24"/>
        </w:rPr>
        <w:t>, the developer of the NIPA framework, constructed an annual</w:t>
      </w:r>
      <w:r w:rsidRPr="009F3FFE">
        <w:rPr>
          <w:rFonts w:ascii="Times New Roman" w:hAnsi="Times New Roman" w:cs="Times New Roman"/>
          <w:sz w:val="24"/>
          <w:szCs w:val="24"/>
        </w:rPr>
        <w:t xml:space="preserve"> series, ultimately going back to 1869, but was adama</w:t>
      </w:r>
      <w:r>
        <w:rPr>
          <w:rFonts w:ascii="Times New Roman" w:hAnsi="Times New Roman" w:cs="Times New Roman"/>
          <w:sz w:val="24"/>
          <w:szCs w:val="24"/>
        </w:rPr>
        <w:t>nt that although he thought the numbers</w:t>
      </w:r>
      <w:r w:rsidRPr="009F3FFE">
        <w:rPr>
          <w:rFonts w:ascii="Times New Roman" w:hAnsi="Times New Roman" w:cs="Times New Roman"/>
          <w:sz w:val="24"/>
          <w:szCs w:val="24"/>
        </w:rPr>
        <w:t xml:space="preserve"> useful for calculating trend growth rates, he did </w:t>
      </w:r>
      <w:r w:rsidRPr="009F3FFE">
        <w:rPr>
          <w:rFonts w:ascii="Times New Roman" w:hAnsi="Times New Roman" w:cs="Times New Roman"/>
          <w:sz w:val="24"/>
          <w:szCs w:val="24"/>
        </w:rPr>
        <w:lastRenderedPageBreak/>
        <w:t>not think they were sufficiently accurate to form the basis for the ex</w:t>
      </w:r>
      <w:r>
        <w:rPr>
          <w:rFonts w:ascii="Times New Roman" w:hAnsi="Times New Roman" w:cs="Times New Roman"/>
          <w:sz w:val="24"/>
          <w:szCs w:val="24"/>
        </w:rPr>
        <w:t>ploration of cyclical variation (Kuznets, 1961; Rhode et al, 2005).</w:t>
      </w:r>
      <w:r w:rsidRPr="009F3FFE">
        <w:rPr>
          <w:rFonts w:ascii="Times New Roman" w:hAnsi="Times New Roman" w:cs="Times New Roman"/>
          <w:sz w:val="24"/>
          <w:szCs w:val="24"/>
        </w:rPr>
        <w:t xml:space="preserve">  </w:t>
      </w:r>
    </w:p>
    <w:p w14:paraId="6476DCBA" w14:textId="300C7EF9" w:rsidR="005C783E" w:rsidRDefault="005C783E" w:rsidP="005C783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His pre-1919 estimates were b</w:t>
      </w:r>
      <w:r>
        <w:rPr>
          <w:rFonts w:ascii="Times New Roman" w:hAnsi="Times New Roman" w:cs="Times New Roman"/>
          <w:sz w:val="24"/>
          <w:szCs w:val="24"/>
        </w:rPr>
        <w:t xml:space="preserve">ased on </w:t>
      </w:r>
      <w:r w:rsidRPr="009F3FFE">
        <w:rPr>
          <w:rFonts w:ascii="Times New Roman" w:hAnsi="Times New Roman" w:cs="Times New Roman"/>
          <w:sz w:val="24"/>
          <w:szCs w:val="24"/>
        </w:rPr>
        <w:t>commodity</w:t>
      </w:r>
      <w:r>
        <w:rPr>
          <w:rFonts w:ascii="Times New Roman" w:hAnsi="Times New Roman" w:cs="Times New Roman"/>
          <w:sz w:val="24"/>
          <w:szCs w:val="24"/>
        </w:rPr>
        <w:t xml:space="preserve"> (goods)</w:t>
      </w:r>
      <w:r w:rsidRPr="009F3FFE">
        <w:rPr>
          <w:rFonts w:ascii="Times New Roman" w:hAnsi="Times New Roman" w:cs="Times New Roman"/>
          <w:sz w:val="24"/>
          <w:szCs w:val="24"/>
        </w:rPr>
        <w:t xml:space="preserve"> dat</w:t>
      </w:r>
      <w:r>
        <w:rPr>
          <w:rFonts w:ascii="Times New Roman" w:hAnsi="Times New Roman" w:cs="Times New Roman"/>
          <w:sz w:val="24"/>
          <w:szCs w:val="24"/>
        </w:rPr>
        <w:t>a from Shaw (1947</w:t>
      </w:r>
      <w:r w:rsidRPr="009F3FFE">
        <w:rPr>
          <w:rFonts w:ascii="Times New Roman" w:hAnsi="Times New Roman" w:cs="Times New Roman"/>
          <w:sz w:val="24"/>
          <w:szCs w:val="24"/>
        </w:rPr>
        <w:t xml:space="preserve">), </w:t>
      </w:r>
      <w:r>
        <w:rPr>
          <w:rFonts w:ascii="Times New Roman" w:hAnsi="Times New Roman" w:cs="Times New Roman"/>
          <w:sz w:val="24"/>
          <w:szCs w:val="24"/>
        </w:rPr>
        <w:t>which Kuznets marked up by</w:t>
      </w:r>
      <w:r w:rsidRPr="009F3FFE">
        <w:rPr>
          <w:rFonts w:ascii="Times New Roman" w:hAnsi="Times New Roman" w:cs="Times New Roman"/>
          <w:sz w:val="24"/>
          <w:szCs w:val="24"/>
        </w:rPr>
        <w:t xml:space="preserve"> assumed margins for transportation and distribution.  The size of those margins, and more generally the question of whether service sector (non-commodity) output varied roughly one </w:t>
      </w:r>
      <w:r>
        <w:rPr>
          <w:rFonts w:ascii="Times New Roman" w:hAnsi="Times New Roman" w:cs="Times New Roman"/>
          <w:sz w:val="24"/>
          <w:szCs w:val="24"/>
        </w:rPr>
        <w:t>for one with goods output, lay</w:t>
      </w:r>
      <w:r w:rsidRPr="009F3FFE">
        <w:rPr>
          <w:rFonts w:ascii="Times New Roman" w:hAnsi="Times New Roman" w:cs="Times New Roman"/>
          <w:sz w:val="24"/>
          <w:szCs w:val="24"/>
        </w:rPr>
        <w:t xml:space="preserve"> at the heart of Christina Romer’s subsequent questioning of how much more moderate had been post World War II business cycles relative to those that preceded them (Romer, 1989). </w:t>
      </w:r>
    </w:p>
    <w:p w14:paraId="3EFEAA48" w14:textId="77777777" w:rsidR="005C783E" w:rsidRDefault="005C783E" w:rsidP="005C783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 xml:space="preserve">For 1919-1929, </w:t>
      </w:r>
      <w:r>
        <w:rPr>
          <w:rFonts w:ascii="Times New Roman" w:hAnsi="Times New Roman" w:cs="Times New Roman"/>
          <w:sz w:val="24"/>
          <w:szCs w:val="24"/>
        </w:rPr>
        <w:t xml:space="preserve">however, </w:t>
      </w:r>
      <w:r w:rsidRPr="009F3FFE">
        <w:rPr>
          <w:rFonts w:ascii="Times New Roman" w:hAnsi="Times New Roman" w:cs="Times New Roman"/>
          <w:sz w:val="24"/>
          <w:szCs w:val="24"/>
        </w:rPr>
        <w:t xml:space="preserve">Kuznets </w:t>
      </w:r>
      <w:r>
        <w:rPr>
          <w:rFonts w:ascii="Times New Roman" w:hAnsi="Times New Roman" w:cs="Times New Roman"/>
          <w:sz w:val="24"/>
          <w:szCs w:val="24"/>
        </w:rPr>
        <w:t xml:space="preserve">was able to construct </w:t>
      </w:r>
      <w:r w:rsidRPr="009F3FFE">
        <w:rPr>
          <w:rFonts w:ascii="Times New Roman" w:hAnsi="Times New Roman" w:cs="Times New Roman"/>
          <w:sz w:val="24"/>
          <w:szCs w:val="24"/>
        </w:rPr>
        <w:t>his estimates from the income side, rather than less complete data on the product</w:t>
      </w:r>
      <w:r>
        <w:rPr>
          <w:rFonts w:ascii="Times New Roman" w:hAnsi="Times New Roman" w:cs="Times New Roman"/>
          <w:sz w:val="24"/>
          <w:szCs w:val="24"/>
        </w:rPr>
        <w:t xml:space="preserve"> side, and his</w:t>
      </w:r>
      <w:r w:rsidRPr="009F3FFE">
        <w:rPr>
          <w:rFonts w:ascii="Times New Roman" w:hAnsi="Times New Roman" w:cs="Times New Roman"/>
          <w:sz w:val="24"/>
          <w:szCs w:val="24"/>
        </w:rPr>
        <w:t xml:space="preserve"> estimates </w:t>
      </w:r>
      <w:r>
        <w:rPr>
          <w:rFonts w:ascii="Times New Roman" w:hAnsi="Times New Roman" w:cs="Times New Roman"/>
          <w:sz w:val="24"/>
          <w:szCs w:val="24"/>
        </w:rPr>
        <w:t>for these years are widel</w:t>
      </w:r>
      <w:r w:rsidRPr="009F3FFE">
        <w:rPr>
          <w:rFonts w:ascii="Times New Roman" w:hAnsi="Times New Roman" w:cs="Times New Roman"/>
          <w:sz w:val="24"/>
          <w:szCs w:val="24"/>
        </w:rPr>
        <w:t>y</w:t>
      </w:r>
      <w:r>
        <w:rPr>
          <w:rFonts w:ascii="Times New Roman" w:hAnsi="Times New Roman" w:cs="Times New Roman"/>
          <w:sz w:val="24"/>
          <w:szCs w:val="24"/>
        </w:rPr>
        <w:t xml:space="preserve"> assumed</w:t>
      </w:r>
      <w:r w:rsidRPr="009F3FFE">
        <w:rPr>
          <w:rFonts w:ascii="Times New Roman" w:hAnsi="Times New Roman" w:cs="Times New Roman"/>
          <w:sz w:val="24"/>
          <w:szCs w:val="24"/>
        </w:rPr>
        <w:t xml:space="preserve"> to be of higher quality than the pre-1919 estimates, For </w:t>
      </w:r>
      <w:r>
        <w:rPr>
          <w:rFonts w:ascii="Times New Roman" w:hAnsi="Times New Roman" w:cs="Times New Roman"/>
          <w:sz w:val="24"/>
          <w:szCs w:val="24"/>
        </w:rPr>
        <w:t xml:space="preserve">1919-1929, the years </w:t>
      </w:r>
      <w:r w:rsidRPr="009F3FFE">
        <w:rPr>
          <w:rFonts w:ascii="Times New Roman" w:hAnsi="Times New Roman" w:cs="Times New Roman"/>
          <w:sz w:val="24"/>
          <w:szCs w:val="24"/>
        </w:rPr>
        <w:t xml:space="preserve">with which we are concerned in this paper - the vexing issue of the size of transportation and distribution margins and more generally the elasticity </w:t>
      </w:r>
      <w:r>
        <w:rPr>
          <w:rFonts w:ascii="Times New Roman" w:hAnsi="Times New Roman" w:cs="Times New Roman"/>
          <w:sz w:val="24"/>
          <w:szCs w:val="24"/>
        </w:rPr>
        <w:t xml:space="preserve">or comovement </w:t>
      </w:r>
      <w:r w:rsidRPr="009F3FFE">
        <w:rPr>
          <w:rFonts w:ascii="Times New Roman" w:hAnsi="Times New Roman" w:cs="Times New Roman"/>
          <w:sz w:val="24"/>
          <w:szCs w:val="24"/>
        </w:rPr>
        <w:t xml:space="preserve">of GNP with respect to fluctuations in commodity output do not apply.  </w:t>
      </w:r>
    </w:p>
    <w:p w14:paraId="4AD75669" w14:textId="77777777" w:rsidR="005C783E" w:rsidRPr="009F3FFE" w:rsidRDefault="005C783E" w:rsidP="005C783E">
      <w:pPr>
        <w:spacing w:line="480" w:lineRule="auto"/>
        <w:ind w:firstLine="576"/>
        <w:rPr>
          <w:rFonts w:ascii="Times New Roman" w:hAnsi="Times New Roman" w:cs="Times New Roman"/>
          <w:sz w:val="24"/>
          <w:szCs w:val="24"/>
        </w:rPr>
      </w:pPr>
      <w:r>
        <w:rPr>
          <w:rFonts w:ascii="Times New Roman" w:hAnsi="Times New Roman" w:cs="Times New Roman"/>
          <w:sz w:val="24"/>
          <w:szCs w:val="24"/>
        </w:rPr>
        <w:t>M</w:t>
      </w:r>
      <w:r w:rsidRPr="009F3FFE">
        <w:rPr>
          <w:rFonts w:ascii="Times New Roman" w:hAnsi="Times New Roman" w:cs="Times New Roman"/>
          <w:sz w:val="24"/>
          <w:szCs w:val="24"/>
        </w:rPr>
        <w:t>ost of Romer’s revisionism applies to the pre-1909 data</w:t>
      </w:r>
      <w:r>
        <w:rPr>
          <w:rFonts w:ascii="Times New Roman" w:hAnsi="Times New Roman" w:cs="Times New Roman"/>
          <w:sz w:val="24"/>
          <w:szCs w:val="24"/>
        </w:rPr>
        <w:t>. R</w:t>
      </w:r>
      <w:r w:rsidRPr="009F3FFE">
        <w:rPr>
          <w:rFonts w:ascii="Times New Roman" w:hAnsi="Times New Roman" w:cs="Times New Roman"/>
          <w:sz w:val="24"/>
          <w:szCs w:val="24"/>
        </w:rPr>
        <w:t xml:space="preserve">omer </w:t>
      </w:r>
      <w:r>
        <w:rPr>
          <w:rFonts w:ascii="Times New Roman" w:hAnsi="Times New Roman" w:cs="Times New Roman"/>
          <w:sz w:val="24"/>
          <w:szCs w:val="24"/>
        </w:rPr>
        <w:t>also endorses income side estimates</w:t>
      </w:r>
      <w:r w:rsidRPr="009F3FFE">
        <w:rPr>
          <w:rFonts w:ascii="Times New Roman" w:hAnsi="Times New Roman" w:cs="Times New Roman"/>
          <w:sz w:val="24"/>
          <w:szCs w:val="24"/>
        </w:rPr>
        <w:t xml:space="preserve"> for 1909-1918 contained in an appendix to Kuznets (1961), although Kuznets</w:t>
      </w:r>
      <w:r>
        <w:rPr>
          <w:rFonts w:ascii="Times New Roman" w:hAnsi="Times New Roman" w:cs="Times New Roman"/>
          <w:sz w:val="24"/>
          <w:szCs w:val="24"/>
        </w:rPr>
        <w:t xml:space="preserve"> believed </w:t>
      </w:r>
      <w:r w:rsidRPr="009F3FFE">
        <w:rPr>
          <w:rFonts w:ascii="Times New Roman" w:hAnsi="Times New Roman" w:cs="Times New Roman"/>
          <w:sz w:val="24"/>
          <w:szCs w:val="24"/>
        </w:rPr>
        <w:t xml:space="preserve"> these numbers to be less accurate than those for 1919-29, and  ultimately judged his product side estimates for 1909-18 to be s</w:t>
      </w:r>
      <w:r>
        <w:rPr>
          <w:rFonts w:ascii="Times New Roman" w:hAnsi="Times New Roman" w:cs="Times New Roman"/>
          <w:sz w:val="24"/>
          <w:szCs w:val="24"/>
        </w:rPr>
        <w:t>uperior (see Weir, 1986, p. 355</w:t>
      </w:r>
      <w:r w:rsidRPr="009F3FFE">
        <w:rPr>
          <w:rFonts w:ascii="Times New Roman" w:hAnsi="Times New Roman" w:cs="Times New Roman"/>
          <w:sz w:val="24"/>
          <w:szCs w:val="24"/>
        </w:rPr>
        <w:t xml:space="preserve">).  Kendrick (1961) made adjustments to </w:t>
      </w:r>
      <w:r>
        <w:rPr>
          <w:rFonts w:ascii="Times New Roman" w:hAnsi="Times New Roman" w:cs="Times New Roman"/>
          <w:sz w:val="24"/>
          <w:szCs w:val="24"/>
        </w:rPr>
        <w:t xml:space="preserve">the treatment of government expenditure in </w:t>
      </w:r>
      <w:r w:rsidRPr="009F3FFE">
        <w:rPr>
          <w:rFonts w:ascii="Times New Roman" w:hAnsi="Times New Roman" w:cs="Times New Roman"/>
          <w:sz w:val="24"/>
          <w:szCs w:val="24"/>
        </w:rPr>
        <w:t xml:space="preserve">Kuznets’ GNP </w:t>
      </w:r>
      <w:r>
        <w:rPr>
          <w:rFonts w:ascii="Times New Roman" w:hAnsi="Times New Roman" w:cs="Times New Roman"/>
          <w:sz w:val="24"/>
          <w:szCs w:val="24"/>
        </w:rPr>
        <w:t>series</w:t>
      </w:r>
      <w:r w:rsidRPr="009F3FFE">
        <w:rPr>
          <w:rFonts w:ascii="Times New Roman" w:hAnsi="Times New Roman" w:cs="Times New Roman"/>
          <w:sz w:val="24"/>
          <w:szCs w:val="24"/>
        </w:rPr>
        <w:t xml:space="preserve"> to make them more comparable to the annual series from 1929 onward </w:t>
      </w:r>
      <w:r>
        <w:rPr>
          <w:rFonts w:ascii="Times New Roman" w:hAnsi="Times New Roman" w:cs="Times New Roman"/>
          <w:sz w:val="24"/>
          <w:szCs w:val="24"/>
        </w:rPr>
        <w:t xml:space="preserve">maintained </w:t>
      </w:r>
      <w:r w:rsidRPr="009F3FFE">
        <w:rPr>
          <w:rFonts w:ascii="Times New Roman" w:hAnsi="Times New Roman" w:cs="Times New Roman"/>
          <w:sz w:val="24"/>
          <w:szCs w:val="24"/>
        </w:rPr>
        <w:t>by the B</w:t>
      </w:r>
      <w:r>
        <w:rPr>
          <w:rFonts w:ascii="Times New Roman" w:hAnsi="Times New Roman" w:cs="Times New Roman"/>
          <w:sz w:val="24"/>
          <w:szCs w:val="24"/>
        </w:rPr>
        <w:t>EA.  Kuznets had treated most</w:t>
      </w:r>
      <w:r w:rsidRPr="009F3FFE">
        <w:rPr>
          <w:rFonts w:ascii="Times New Roman" w:hAnsi="Times New Roman" w:cs="Times New Roman"/>
          <w:sz w:val="24"/>
          <w:szCs w:val="24"/>
        </w:rPr>
        <w:t xml:space="preserve"> government expenditure as an intermediate good, not part of final</w:t>
      </w:r>
      <w:r>
        <w:rPr>
          <w:rFonts w:ascii="Times New Roman" w:hAnsi="Times New Roman" w:cs="Times New Roman"/>
          <w:sz w:val="24"/>
          <w:szCs w:val="24"/>
        </w:rPr>
        <w:t xml:space="preserve"> product</w:t>
      </w:r>
      <w:r w:rsidRPr="009F3FFE">
        <w:rPr>
          <w:rFonts w:ascii="Times New Roman" w:hAnsi="Times New Roman" w:cs="Times New Roman"/>
          <w:sz w:val="24"/>
          <w:szCs w:val="24"/>
        </w:rPr>
        <w:t>.</w:t>
      </w:r>
      <w:r>
        <w:rPr>
          <w:rFonts w:ascii="Times New Roman" w:hAnsi="Times New Roman" w:cs="Times New Roman"/>
          <w:sz w:val="24"/>
          <w:szCs w:val="24"/>
        </w:rPr>
        <w:t xml:space="preserve">  </w:t>
      </w:r>
      <w:r w:rsidRPr="009F3FFE">
        <w:rPr>
          <w:rFonts w:ascii="Times New Roman" w:hAnsi="Times New Roman" w:cs="Times New Roman"/>
          <w:sz w:val="24"/>
          <w:szCs w:val="24"/>
        </w:rPr>
        <w:t>Kendrick’s have since become t</w:t>
      </w:r>
      <w:r>
        <w:rPr>
          <w:rFonts w:ascii="Times New Roman" w:hAnsi="Times New Roman" w:cs="Times New Roman"/>
          <w:sz w:val="24"/>
          <w:szCs w:val="24"/>
        </w:rPr>
        <w:t xml:space="preserve">he standard </w:t>
      </w:r>
      <w:r w:rsidRPr="009F3FFE">
        <w:rPr>
          <w:rFonts w:ascii="Times New Roman" w:hAnsi="Times New Roman" w:cs="Times New Roman"/>
          <w:sz w:val="24"/>
          <w:szCs w:val="24"/>
        </w:rPr>
        <w:t xml:space="preserve">series referenced by students of the 1920s.  Romer’s </w:t>
      </w:r>
      <w:r w:rsidRPr="009F3FFE">
        <w:rPr>
          <w:rFonts w:ascii="Times New Roman" w:hAnsi="Times New Roman" w:cs="Times New Roman"/>
          <w:sz w:val="24"/>
          <w:szCs w:val="24"/>
        </w:rPr>
        <w:lastRenderedPageBreak/>
        <w:t xml:space="preserve">annual </w:t>
      </w:r>
      <w:r>
        <w:rPr>
          <w:rFonts w:ascii="Times New Roman" w:hAnsi="Times New Roman" w:cs="Times New Roman"/>
          <w:sz w:val="24"/>
          <w:szCs w:val="24"/>
        </w:rPr>
        <w:t xml:space="preserve">GNP </w:t>
      </w:r>
      <w:r w:rsidRPr="009F3FFE">
        <w:rPr>
          <w:rFonts w:ascii="Times New Roman" w:hAnsi="Times New Roman" w:cs="Times New Roman"/>
          <w:sz w:val="24"/>
          <w:szCs w:val="24"/>
        </w:rPr>
        <w:t xml:space="preserve">series for 1919-1929 </w:t>
      </w:r>
      <w:r>
        <w:rPr>
          <w:rFonts w:ascii="Times New Roman" w:hAnsi="Times New Roman" w:cs="Times New Roman"/>
          <w:sz w:val="24"/>
          <w:szCs w:val="24"/>
        </w:rPr>
        <w:t xml:space="preserve">(reproduced below) </w:t>
      </w:r>
      <w:r w:rsidRPr="009F3FFE">
        <w:rPr>
          <w:rFonts w:ascii="Times New Roman" w:hAnsi="Times New Roman" w:cs="Times New Roman"/>
          <w:sz w:val="24"/>
          <w:szCs w:val="24"/>
        </w:rPr>
        <w:t xml:space="preserve">are Kuznets’ income side estimates with Kendrick’s adjustments and some other minor adjustments.  </w:t>
      </w:r>
    </w:p>
    <w:p w14:paraId="421AD435" w14:textId="77777777" w:rsidR="005C783E" w:rsidRDefault="005C783E" w:rsidP="005C783E">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Romer’s big differences with Kuznets involve </w:t>
      </w:r>
      <w:r w:rsidRPr="009F3FFE">
        <w:rPr>
          <w:rFonts w:ascii="Times New Roman" w:hAnsi="Times New Roman" w:cs="Times New Roman"/>
          <w:sz w:val="24"/>
          <w:szCs w:val="24"/>
        </w:rPr>
        <w:t xml:space="preserve">how much pre-1909 GNP was likely to have varied with changes in commodity output.  Kuznets used freehand regression to estimate the elasticity of GNP with respect to goods production using </w:t>
      </w:r>
      <w:r>
        <w:rPr>
          <w:rFonts w:ascii="Times New Roman" w:hAnsi="Times New Roman" w:cs="Times New Roman"/>
          <w:sz w:val="24"/>
          <w:szCs w:val="24"/>
        </w:rPr>
        <w:t>data for the years 1909-1938 (Kuznets, 1961, pp. 536-37).</w:t>
      </w:r>
      <w:r w:rsidRPr="009F3FFE">
        <w:rPr>
          <w:rFonts w:ascii="Times New Roman" w:hAnsi="Times New Roman" w:cs="Times New Roman"/>
          <w:sz w:val="24"/>
          <w:szCs w:val="24"/>
        </w:rPr>
        <w:t xml:space="preserve">  Based on data from these years, he concluded that the elasticity approached one, and us</w:t>
      </w:r>
      <w:r>
        <w:rPr>
          <w:rFonts w:ascii="Times New Roman" w:hAnsi="Times New Roman" w:cs="Times New Roman"/>
          <w:sz w:val="24"/>
          <w:szCs w:val="24"/>
        </w:rPr>
        <w:t xml:space="preserve">ed this to backcast </w:t>
      </w:r>
      <w:r w:rsidRPr="009F3FFE">
        <w:rPr>
          <w:rFonts w:ascii="Times New Roman" w:hAnsi="Times New Roman" w:cs="Times New Roman"/>
          <w:sz w:val="24"/>
          <w:szCs w:val="24"/>
        </w:rPr>
        <w:t xml:space="preserve">a </w:t>
      </w:r>
      <w:r>
        <w:rPr>
          <w:rFonts w:ascii="Times New Roman" w:hAnsi="Times New Roman" w:cs="Times New Roman"/>
          <w:sz w:val="24"/>
          <w:szCs w:val="24"/>
        </w:rPr>
        <w:t xml:space="preserve">GNP </w:t>
      </w:r>
      <w:r w:rsidRPr="009F3FFE">
        <w:rPr>
          <w:rFonts w:ascii="Times New Roman" w:hAnsi="Times New Roman" w:cs="Times New Roman"/>
          <w:sz w:val="24"/>
          <w:szCs w:val="24"/>
        </w:rPr>
        <w:t xml:space="preserve">series </w:t>
      </w:r>
      <w:r>
        <w:rPr>
          <w:rFonts w:ascii="Times New Roman" w:hAnsi="Times New Roman" w:cs="Times New Roman"/>
          <w:sz w:val="24"/>
          <w:szCs w:val="24"/>
        </w:rPr>
        <w:t xml:space="preserve">using goods data </w:t>
      </w:r>
      <w:r w:rsidRPr="009F3FFE">
        <w:rPr>
          <w:rFonts w:ascii="Times New Roman" w:hAnsi="Times New Roman" w:cs="Times New Roman"/>
          <w:sz w:val="24"/>
          <w:szCs w:val="24"/>
        </w:rPr>
        <w:t>for the earlier years.</w:t>
      </w:r>
      <w:r>
        <w:rPr>
          <w:rFonts w:ascii="Times New Roman" w:hAnsi="Times New Roman" w:cs="Times New Roman"/>
          <w:sz w:val="24"/>
          <w:szCs w:val="24"/>
        </w:rPr>
        <w:t xml:space="preserve">  </w:t>
      </w:r>
      <w:r w:rsidRPr="009F3FFE">
        <w:rPr>
          <w:rFonts w:ascii="Times New Roman" w:hAnsi="Times New Roman" w:cs="Times New Roman"/>
          <w:sz w:val="24"/>
          <w:szCs w:val="24"/>
        </w:rPr>
        <w:t xml:space="preserve"> Romer reestimated the elasticity using data </w:t>
      </w:r>
      <w:r>
        <w:rPr>
          <w:rFonts w:ascii="Times New Roman" w:hAnsi="Times New Roman" w:cs="Times New Roman"/>
          <w:sz w:val="24"/>
          <w:szCs w:val="24"/>
        </w:rPr>
        <w:t xml:space="preserve">from 1909 to 1985, but excluding </w:t>
      </w:r>
      <w:r w:rsidRPr="009F3FFE">
        <w:rPr>
          <w:rFonts w:ascii="Times New Roman" w:hAnsi="Times New Roman" w:cs="Times New Roman"/>
          <w:sz w:val="24"/>
          <w:szCs w:val="24"/>
        </w:rPr>
        <w:t>the years of the Great Depression and the Secon</w:t>
      </w:r>
      <w:r>
        <w:rPr>
          <w:rFonts w:ascii="Times New Roman" w:hAnsi="Times New Roman" w:cs="Times New Roman"/>
          <w:sz w:val="24"/>
          <w:szCs w:val="24"/>
        </w:rPr>
        <w:t>d World War (1929-46).  She</w:t>
      </w:r>
      <w:r w:rsidRPr="009F3FFE">
        <w:rPr>
          <w:rFonts w:ascii="Times New Roman" w:hAnsi="Times New Roman" w:cs="Times New Roman"/>
          <w:sz w:val="24"/>
          <w:szCs w:val="24"/>
        </w:rPr>
        <w:t xml:space="preserve"> made a number of other </w:t>
      </w:r>
      <w:r>
        <w:rPr>
          <w:rFonts w:ascii="Times New Roman" w:hAnsi="Times New Roman" w:cs="Times New Roman"/>
          <w:sz w:val="24"/>
          <w:szCs w:val="24"/>
        </w:rPr>
        <w:t xml:space="preserve">more </w:t>
      </w:r>
      <w:r w:rsidRPr="009F3FFE">
        <w:rPr>
          <w:rFonts w:ascii="Times New Roman" w:hAnsi="Times New Roman" w:cs="Times New Roman"/>
          <w:sz w:val="24"/>
          <w:szCs w:val="24"/>
        </w:rPr>
        <w:t xml:space="preserve">minor changes – using log differences rather than ratios, allowing the elasticity to vary over time, and using what she described as “normal” rather than peak years to establish trend from which deviations might be calculated.  </w:t>
      </w:r>
    </w:p>
    <w:p w14:paraId="1A4BDBD5" w14:textId="6C21C04F" w:rsidR="005C783E" w:rsidRDefault="005C783E" w:rsidP="005C783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Based on these regressions she found that the elasticity was not in fact very time sensitive: “the time varying coefficient measuring the sensitivity of GNP to commodity output fell from .583 in 1909 to .527 in 1985 (Romer, 1989, p. 20).  Her</w:t>
      </w:r>
      <w:r>
        <w:rPr>
          <w:rFonts w:ascii="Times New Roman" w:hAnsi="Times New Roman" w:cs="Times New Roman"/>
          <w:sz w:val="24"/>
          <w:szCs w:val="24"/>
        </w:rPr>
        <w:t xml:space="preserve"> </w:t>
      </w:r>
      <w:r w:rsidR="00AE34F2">
        <w:rPr>
          <w:rFonts w:ascii="Times New Roman" w:hAnsi="Times New Roman" w:cs="Times New Roman"/>
          <w:sz w:val="24"/>
          <w:szCs w:val="24"/>
        </w:rPr>
        <w:t>more important</w:t>
      </w:r>
      <w:r>
        <w:rPr>
          <w:rFonts w:ascii="Times New Roman" w:hAnsi="Times New Roman" w:cs="Times New Roman"/>
          <w:sz w:val="24"/>
          <w:szCs w:val="24"/>
        </w:rPr>
        <w:t xml:space="preserve"> result</w:t>
      </w:r>
      <w:r w:rsidRPr="009F3FFE">
        <w:rPr>
          <w:rFonts w:ascii="Times New Roman" w:hAnsi="Times New Roman" w:cs="Times New Roman"/>
          <w:sz w:val="24"/>
          <w:szCs w:val="24"/>
        </w:rPr>
        <w:t xml:space="preserve"> however was not the small difference in these two numbers but</w:t>
      </w:r>
      <w:r>
        <w:rPr>
          <w:rFonts w:ascii="Times New Roman" w:hAnsi="Times New Roman" w:cs="Times New Roman"/>
          <w:sz w:val="24"/>
          <w:szCs w:val="24"/>
        </w:rPr>
        <w:t xml:space="preserve"> rather</w:t>
      </w:r>
      <w:r w:rsidRPr="009F3FFE">
        <w:rPr>
          <w:rFonts w:ascii="Times New Roman" w:hAnsi="Times New Roman" w:cs="Times New Roman"/>
          <w:sz w:val="24"/>
          <w:szCs w:val="24"/>
        </w:rPr>
        <w:t xml:space="preserve"> their </w:t>
      </w:r>
      <w:r w:rsidR="00EC33EF">
        <w:rPr>
          <w:rFonts w:ascii="Times New Roman" w:hAnsi="Times New Roman" w:cs="Times New Roman"/>
          <w:sz w:val="24"/>
          <w:szCs w:val="24"/>
        </w:rPr>
        <w:t xml:space="preserve">moderate </w:t>
      </w:r>
      <w:r w:rsidRPr="009F3FFE">
        <w:rPr>
          <w:rFonts w:ascii="Times New Roman" w:hAnsi="Times New Roman" w:cs="Times New Roman"/>
          <w:sz w:val="24"/>
          <w:szCs w:val="24"/>
        </w:rPr>
        <w:t>size. Kuznets had concluded that GNP varied almost one for one with commodity output.  Romer argued that the elasticity was closer to .5 or .6.  Thus he</w:t>
      </w:r>
      <w:r>
        <w:rPr>
          <w:rFonts w:ascii="Times New Roman" w:hAnsi="Times New Roman" w:cs="Times New Roman"/>
          <w:sz w:val="24"/>
          <w:szCs w:val="24"/>
        </w:rPr>
        <w:t>r estimates of pre-1909 GNP are</w:t>
      </w:r>
      <w:r w:rsidRPr="009F3FFE">
        <w:rPr>
          <w:rFonts w:ascii="Times New Roman" w:hAnsi="Times New Roman" w:cs="Times New Roman"/>
          <w:sz w:val="24"/>
          <w:szCs w:val="24"/>
        </w:rPr>
        <w:t xml:space="preserve"> much less volatile than Kuznets’, which is what </w:t>
      </w:r>
      <w:r>
        <w:rPr>
          <w:rFonts w:ascii="Times New Roman" w:hAnsi="Times New Roman" w:cs="Times New Roman"/>
          <w:sz w:val="24"/>
          <w:szCs w:val="24"/>
        </w:rPr>
        <w:t xml:space="preserve">underpins </w:t>
      </w:r>
      <w:r w:rsidRPr="009F3FFE">
        <w:rPr>
          <w:rFonts w:ascii="Times New Roman" w:hAnsi="Times New Roman" w:cs="Times New Roman"/>
          <w:sz w:val="24"/>
          <w:szCs w:val="24"/>
        </w:rPr>
        <w:t xml:space="preserve">her conclusion that the pre-World War I business cycle was not markedly more severe than the post-World War II cycle.  </w:t>
      </w:r>
    </w:p>
    <w:p w14:paraId="6B3D4767" w14:textId="77777777" w:rsidR="005C783E" w:rsidRDefault="005C783E" w:rsidP="005C783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 xml:space="preserve">Romer justified </w:t>
      </w:r>
      <w:r>
        <w:rPr>
          <w:rFonts w:ascii="Times New Roman" w:hAnsi="Times New Roman" w:cs="Times New Roman"/>
          <w:sz w:val="24"/>
          <w:szCs w:val="24"/>
        </w:rPr>
        <w:t>excluding 1929-1946 from her regression</w:t>
      </w:r>
      <w:r w:rsidRPr="009F3FFE">
        <w:rPr>
          <w:rFonts w:ascii="Times New Roman" w:hAnsi="Times New Roman" w:cs="Times New Roman"/>
          <w:sz w:val="24"/>
          <w:szCs w:val="24"/>
        </w:rPr>
        <w:t xml:space="preserve"> on the grounds that </w:t>
      </w:r>
      <w:r>
        <w:rPr>
          <w:rFonts w:ascii="Times New Roman" w:hAnsi="Times New Roman" w:cs="Times New Roman"/>
          <w:sz w:val="24"/>
          <w:szCs w:val="24"/>
        </w:rPr>
        <w:t xml:space="preserve">we could </w:t>
      </w:r>
      <w:r w:rsidRPr="009F3FFE">
        <w:rPr>
          <w:rFonts w:ascii="Times New Roman" w:hAnsi="Times New Roman" w:cs="Times New Roman"/>
          <w:sz w:val="24"/>
          <w:szCs w:val="24"/>
        </w:rPr>
        <w:t>expect the elasticity of GNP with respect to commodity output to have been unusually large during these</w:t>
      </w:r>
      <w:r>
        <w:rPr>
          <w:rFonts w:ascii="Times New Roman" w:hAnsi="Times New Roman" w:cs="Times New Roman"/>
          <w:sz w:val="24"/>
          <w:szCs w:val="24"/>
        </w:rPr>
        <w:t xml:space="preserve"> years because the fluctuations in both series were so substantial. She maintained</w:t>
      </w:r>
      <w:r w:rsidRPr="009F3FFE">
        <w:rPr>
          <w:rFonts w:ascii="Times New Roman" w:hAnsi="Times New Roman" w:cs="Times New Roman"/>
          <w:sz w:val="24"/>
          <w:szCs w:val="24"/>
        </w:rPr>
        <w:t xml:space="preserve"> </w:t>
      </w:r>
      <w:r w:rsidRPr="009F3FFE">
        <w:rPr>
          <w:rFonts w:ascii="Times New Roman" w:hAnsi="Times New Roman" w:cs="Times New Roman"/>
          <w:sz w:val="24"/>
          <w:szCs w:val="24"/>
        </w:rPr>
        <w:lastRenderedPageBreak/>
        <w:t>that it would be inappropriate to extrapolate backwards from this “abnormal” period to more “norm</w:t>
      </w:r>
      <w:r>
        <w:rPr>
          <w:rFonts w:ascii="Times New Roman" w:hAnsi="Times New Roman" w:cs="Times New Roman"/>
          <w:sz w:val="24"/>
          <w:szCs w:val="24"/>
        </w:rPr>
        <w:t>al” years between 1869 and 1908, and she</w:t>
      </w:r>
      <w:r w:rsidRPr="009F3FFE">
        <w:rPr>
          <w:rFonts w:ascii="Times New Roman" w:hAnsi="Times New Roman" w:cs="Times New Roman"/>
          <w:sz w:val="24"/>
          <w:szCs w:val="24"/>
        </w:rPr>
        <w:t xml:space="preserve"> attributed Kuznets’ high e</w:t>
      </w:r>
      <w:r>
        <w:rPr>
          <w:rFonts w:ascii="Times New Roman" w:hAnsi="Times New Roman" w:cs="Times New Roman"/>
          <w:sz w:val="24"/>
          <w:szCs w:val="24"/>
        </w:rPr>
        <w:t>lasticity estimate in</w:t>
      </w:r>
      <w:r w:rsidRPr="009F3FFE">
        <w:rPr>
          <w:rFonts w:ascii="Times New Roman" w:hAnsi="Times New Roman" w:cs="Times New Roman"/>
          <w:sz w:val="24"/>
          <w:szCs w:val="24"/>
        </w:rPr>
        <w:t xml:space="preserve"> part to</w:t>
      </w:r>
      <w:r>
        <w:rPr>
          <w:rFonts w:ascii="Times New Roman" w:hAnsi="Times New Roman" w:cs="Times New Roman"/>
          <w:sz w:val="24"/>
          <w:szCs w:val="24"/>
        </w:rPr>
        <w:t xml:space="preserve"> his </w:t>
      </w:r>
      <w:r w:rsidRPr="009F3FFE">
        <w:rPr>
          <w:rFonts w:ascii="Times New Roman" w:hAnsi="Times New Roman" w:cs="Times New Roman"/>
          <w:sz w:val="24"/>
          <w:szCs w:val="24"/>
        </w:rPr>
        <w:t>inclusion of the years 1929</w:t>
      </w:r>
      <w:r>
        <w:rPr>
          <w:rFonts w:ascii="Times New Roman" w:hAnsi="Times New Roman" w:cs="Times New Roman"/>
          <w:sz w:val="24"/>
          <w:szCs w:val="24"/>
        </w:rPr>
        <w:t>-1938 in his estimating regression.</w:t>
      </w:r>
      <w:r w:rsidRPr="009F3FFE">
        <w:rPr>
          <w:rFonts w:ascii="Times New Roman" w:hAnsi="Times New Roman" w:cs="Times New Roman"/>
          <w:sz w:val="24"/>
          <w:szCs w:val="24"/>
        </w:rPr>
        <w:t xml:space="preserve"> Weir (1986, p. 355) questioned Romer’s exc</w:t>
      </w:r>
      <w:r>
        <w:rPr>
          <w:rFonts w:ascii="Times New Roman" w:hAnsi="Times New Roman" w:cs="Times New Roman"/>
          <w:sz w:val="24"/>
          <w:szCs w:val="24"/>
        </w:rPr>
        <w:t>lusion of 1929-46, arguing that there was</w:t>
      </w:r>
      <w:r w:rsidRPr="009F3FFE">
        <w:rPr>
          <w:rFonts w:ascii="Times New Roman" w:hAnsi="Times New Roman" w:cs="Times New Roman"/>
          <w:sz w:val="24"/>
          <w:szCs w:val="24"/>
        </w:rPr>
        <w:t xml:space="preserve"> little evidence of a structural break </w:t>
      </w:r>
      <w:r>
        <w:rPr>
          <w:rFonts w:ascii="Times New Roman" w:hAnsi="Times New Roman" w:cs="Times New Roman"/>
          <w:sz w:val="24"/>
          <w:szCs w:val="24"/>
        </w:rPr>
        <w:t>during the depression years. Nevertheless, Romer’s</w:t>
      </w:r>
      <w:r w:rsidRPr="009F3FFE">
        <w:rPr>
          <w:rFonts w:ascii="Times New Roman" w:hAnsi="Times New Roman" w:cs="Times New Roman"/>
          <w:sz w:val="24"/>
          <w:szCs w:val="24"/>
        </w:rPr>
        <w:t xml:space="preserve"> argument about the relative severity of the pre-World War I business cycle, and her means of</w:t>
      </w:r>
      <w:r>
        <w:rPr>
          <w:rFonts w:ascii="Times New Roman" w:hAnsi="Times New Roman" w:cs="Times New Roman"/>
          <w:sz w:val="24"/>
          <w:szCs w:val="24"/>
        </w:rPr>
        <w:t xml:space="preserve"> reaching that conclusion, have</w:t>
      </w:r>
      <w:r w:rsidRPr="009F3FFE">
        <w:rPr>
          <w:rFonts w:ascii="Times New Roman" w:hAnsi="Times New Roman" w:cs="Times New Roman"/>
          <w:sz w:val="24"/>
          <w:szCs w:val="24"/>
        </w:rPr>
        <w:t xml:space="preserve"> subsequently been widely accepted.</w:t>
      </w:r>
      <w:r>
        <w:rPr>
          <w:rFonts w:ascii="Times New Roman" w:hAnsi="Times New Roman" w:cs="Times New Roman"/>
          <w:sz w:val="24"/>
          <w:szCs w:val="24"/>
        </w:rPr>
        <w:t xml:space="preserve"> </w:t>
      </w:r>
    </w:p>
    <w:p w14:paraId="14E8499E" w14:textId="723DDCD4" w:rsidR="005C783E" w:rsidRPr="00E05788" w:rsidRDefault="005C783E" w:rsidP="005C783E">
      <w:pPr>
        <w:spacing w:line="240" w:lineRule="auto"/>
        <w:jc w:val="center"/>
        <w:rPr>
          <w:rFonts w:cs="Times New Roman"/>
          <w:b/>
          <w:sz w:val="24"/>
          <w:szCs w:val="24"/>
        </w:rPr>
      </w:pPr>
      <w:r w:rsidRPr="00E05788">
        <w:rPr>
          <w:rFonts w:cs="Times New Roman"/>
          <w:b/>
          <w:sz w:val="24"/>
          <w:szCs w:val="24"/>
        </w:rPr>
        <w:t>Table 1:</w:t>
      </w:r>
      <w:r w:rsidRPr="00E05788">
        <w:rPr>
          <w:rFonts w:cs="Times New Roman"/>
          <w:b/>
          <w:sz w:val="24"/>
          <w:szCs w:val="24"/>
        </w:rPr>
        <w:br/>
        <w:t xml:space="preserve"> Annual Estimates of GNP and the Civilian Unemployment Rate</w:t>
      </w:r>
      <w:r>
        <w:rPr>
          <w:rFonts w:cs="Times New Roman"/>
          <w:b/>
          <w:sz w:val="24"/>
          <w:szCs w:val="24"/>
        </w:rPr>
        <w:t>,</w:t>
      </w:r>
      <w:r w:rsidRPr="00E05788">
        <w:rPr>
          <w:rFonts w:cs="Times New Roman"/>
          <w:b/>
          <w:sz w:val="24"/>
          <w:szCs w:val="24"/>
        </w:rPr>
        <w:t xml:space="preserve"> United States, 1919-1929</w:t>
      </w:r>
    </w:p>
    <w:p w14:paraId="2E5CEDE5" w14:textId="2AC6DB75" w:rsidR="005C783E" w:rsidRPr="00E05788" w:rsidRDefault="005C783E" w:rsidP="005C783E">
      <w:pPr>
        <w:spacing w:line="240" w:lineRule="auto"/>
        <w:jc w:val="center"/>
        <w:rPr>
          <w:rFonts w:cs="Times New Roman"/>
          <w:sz w:val="24"/>
          <w:szCs w:val="24"/>
        </w:rPr>
      </w:pPr>
    </w:p>
    <w:tbl>
      <w:tblPr>
        <w:tblW w:w="9180" w:type="dxa"/>
        <w:tblLook w:val="04A0" w:firstRow="1" w:lastRow="0" w:firstColumn="1" w:lastColumn="0" w:noHBand="0" w:noVBand="1"/>
      </w:tblPr>
      <w:tblGrid>
        <w:gridCol w:w="1349"/>
        <w:gridCol w:w="1687"/>
        <w:gridCol w:w="1541"/>
        <w:gridCol w:w="1687"/>
        <w:gridCol w:w="1458"/>
        <w:gridCol w:w="1458"/>
      </w:tblGrid>
      <w:tr w:rsidR="005C783E" w:rsidRPr="0057119D" w14:paraId="3354D0AB" w14:textId="77777777" w:rsidTr="002369F8">
        <w:trPr>
          <w:trHeight w:val="250"/>
        </w:trPr>
        <w:tc>
          <w:tcPr>
            <w:tcW w:w="1349" w:type="dxa"/>
            <w:vMerge w:val="restart"/>
            <w:tcBorders>
              <w:top w:val="single" w:sz="4" w:space="0" w:color="000000"/>
              <w:left w:val="single" w:sz="4" w:space="0" w:color="000000"/>
              <w:bottom w:val="single" w:sz="4" w:space="0" w:color="000000"/>
              <w:right w:val="single" w:sz="4" w:space="0" w:color="000000"/>
            </w:tcBorders>
            <w:vAlign w:val="center"/>
            <w:hideMark/>
          </w:tcPr>
          <w:p w14:paraId="3E1F2636" w14:textId="668D7C47" w:rsidR="005C783E" w:rsidRPr="0057119D" w:rsidRDefault="005C783E" w:rsidP="002369F8">
            <w:pPr>
              <w:spacing w:after="0" w:line="240" w:lineRule="auto"/>
              <w:ind w:firstLine="576"/>
              <w:rPr>
                <w:rFonts w:eastAsia="Times New Roman" w:cs="Times New Roman"/>
                <w:b/>
                <w:bCs/>
                <w:sz w:val="24"/>
                <w:szCs w:val="24"/>
              </w:rPr>
            </w:pPr>
          </w:p>
        </w:tc>
        <w:tc>
          <w:tcPr>
            <w:tcW w:w="1687" w:type="dxa"/>
            <w:tcBorders>
              <w:top w:val="nil"/>
              <w:left w:val="nil"/>
              <w:bottom w:val="single" w:sz="4" w:space="0" w:color="000000"/>
              <w:right w:val="single" w:sz="4" w:space="0" w:color="000000"/>
            </w:tcBorders>
            <w:shd w:val="clear" w:color="auto" w:fill="auto"/>
            <w:hideMark/>
          </w:tcPr>
          <w:p w14:paraId="4C09AC0D" w14:textId="77777777" w:rsidR="005C783E" w:rsidRDefault="005C783E" w:rsidP="002369F8">
            <w:pPr>
              <w:spacing w:after="0" w:line="240" w:lineRule="auto"/>
              <w:rPr>
                <w:rFonts w:eastAsia="Times New Roman" w:cs="Times New Roman"/>
                <w:b/>
                <w:bCs/>
                <w:sz w:val="24"/>
                <w:szCs w:val="24"/>
              </w:rPr>
            </w:pPr>
          </w:p>
          <w:p w14:paraId="2A1A3EAC" w14:textId="77777777" w:rsidR="005C783E" w:rsidRDefault="005C783E" w:rsidP="002369F8">
            <w:pPr>
              <w:spacing w:after="0" w:line="240" w:lineRule="auto"/>
              <w:rPr>
                <w:rFonts w:eastAsia="Times New Roman" w:cs="Times New Roman"/>
                <w:b/>
                <w:bCs/>
                <w:sz w:val="24"/>
                <w:szCs w:val="24"/>
              </w:rPr>
            </w:pPr>
            <w:r>
              <w:rPr>
                <w:rFonts w:eastAsia="Times New Roman" w:cs="Times New Roman"/>
                <w:b/>
                <w:bCs/>
                <w:sz w:val="24"/>
                <w:szCs w:val="24"/>
              </w:rPr>
              <w:t>Balke-Gordon</w:t>
            </w:r>
          </w:p>
          <w:p w14:paraId="4BE31F0E" w14:textId="2ECDCAF1" w:rsidR="005C783E" w:rsidRPr="0057119D" w:rsidRDefault="005C783E" w:rsidP="002369F8">
            <w:pPr>
              <w:spacing w:after="0" w:line="240" w:lineRule="auto"/>
              <w:rPr>
                <w:rFonts w:eastAsia="Times New Roman" w:cs="Times New Roman"/>
                <w:b/>
                <w:bCs/>
                <w:sz w:val="24"/>
                <w:szCs w:val="24"/>
              </w:rPr>
            </w:pPr>
            <w:r>
              <w:rPr>
                <w:rFonts w:eastAsia="Times New Roman" w:cs="Times New Roman"/>
                <w:b/>
                <w:bCs/>
                <w:sz w:val="24"/>
                <w:szCs w:val="24"/>
              </w:rPr>
              <w:t>GNP</w:t>
            </w:r>
          </w:p>
        </w:tc>
        <w:tc>
          <w:tcPr>
            <w:tcW w:w="1541" w:type="dxa"/>
            <w:tcBorders>
              <w:top w:val="nil"/>
              <w:left w:val="single" w:sz="4" w:space="0" w:color="000000"/>
              <w:bottom w:val="single" w:sz="4" w:space="0" w:color="000000"/>
              <w:right w:val="single" w:sz="4" w:space="0" w:color="000000"/>
            </w:tcBorders>
            <w:vAlign w:val="center"/>
            <w:hideMark/>
          </w:tcPr>
          <w:p w14:paraId="632B3C5E" w14:textId="2828BC26" w:rsidR="005C783E" w:rsidRPr="0057119D" w:rsidRDefault="005C783E" w:rsidP="002369F8">
            <w:pPr>
              <w:spacing w:after="0" w:line="240" w:lineRule="auto"/>
              <w:rPr>
                <w:rFonts w:eastAsia="Times New Roman" w:cs="Times New Roman"/>
                <w:b/>
                <w:bCs/>
                <w:sz w:val="24"/>
                <w:szCs w:val="24"/>
              </w:rPr>
            </w:pPr>
            <w:r>
              <w:rPr>
                <w:rFonts w:eastAsia="Times New Roman" w:cs="Times New Roman"/>
                <w:b/>
                <w:bCs/>
                <w:sz w:val="24"/>
                <w:szCs w:val="24"/>
              </w:rPr>
              <w:t>Balke-Gordon Implicit GNP Deflator</w:t>
            </w:r>
          </w:p>
        </w:tc>
        <w:tc>
          <w:tcPr>
            <w:tcW w:w="1687" w:type="dxa"/>
            <w:tcBorders>
              <w:top w:val="nil"/>
              <w:left w:val="nil"/>
              <w:bottom w:val="single" w:sz="4" w:space="0" w:color="000000"/>
              <w:right w:val="single" w:sz="4" w:space="0" w:color="000000"/>
            </w:tcBorders>
            <w:shd w:val="clear" w:color="auto" w:fill="auto"/>
            <w:hideMark/>
          </w:tcPr>
          <w:p w14:paraId="0CB7CBA7" w14:textId="77777777" w:rsidR="005C783E" w:rsidRDefault="005C783E" w:rsidP="002369F8">
            <w:pPr>
              <w:spacing w:after="0" w:line="240" w:lineRule="auto"/>
              <w:rPr>
                <w:rFonts w:eastAsia="Times New Roman" w:cs="Times New Roman"/>
                <w:b/>
                <w:bCs/>
                <w:sz w:val="24"/>
                <w:szCs w:val="24"/>
              </w:rPr>
            </w:pPr>
          </w:p>
          <w:p w14:paraId="020C6F8F" w14:textId="5CBC15AE" w:rsidR="005C783E" w:rsidRPr="0057119D" w:rsidRDefault="005C783E" w:rsidP="002369F8">
            <w:pPr>
              <w:spacing w:after="0" w:line="240" w:lineRule="auto"/>
              <w:rPr>
                <w:rFonts w:eastAsia="Times New Roman" w:cs="Times New Roman"/>
                <w:b/>
                <w:bCs/>
                <w:sz w:val="24"/>
                <w:szCs w:val="24"/>
              </w:rPr>
            </w:pPr>
            <w:r>
              <w:rPr>
                <w:rFonts w:eastAsia="Times New Roman" w:cs="Times New Roman"/>
                <w:b/>
                <w:bCs/>
                <w:sz w:val="24"/>
                <w:szCs w:val="24"/>
              </w:rPr>
              <w:t>Romer GNP</w:t>
            </w:r>
            <w:r w:rsidRPr="0057119D">
              <w:rPr>
                <w:rFonts w:eastAsia="Times New Roman" w:cs="Times New Roman"/>
                <w:b/>
                <w:bCs/>
                <w:sz w:val="24"/>
                <w:szCs w:val="24"/>
              </w:rPr>
              <w:t xml:space="preserve"> </w:t>
            </w:r>
          </w:p>
        </w:tc>
        <w:tc>
          <w:tcPr>
            <w:tcW w:w="1458" w:type="dxa"/>
            <w:tcBorders>
              <w:top w:val="nil"/>
              <w:left w:val="single" w:sz="4" w:space="0" w:color="000000"/>
              <w:bottom w:val="single" w:sz="4" w:space="0" w:color="000000"/>
              <w:right w:val="single" w:sz="4" w:space="0" w:color="000000"/>
            </w:tcBorders>
            <w:vAlign w:val="center"/>
            <w:hideMark/>
          </w:tcPr>
          <w:p w14:paraId="322062AB" w14:textId="77777777" w:rsidR="005C783E" w:rsidRDefault="005C783E" w:rsidP="002369F8">
            <w:pPr>
              <w:spacing w:after="0" w:line="240" w:lineRule="auto"/>
              <w:rPr>
                <w:rFonts w:eastAsia="Times New Roman" w:cs="Times New Roman"/>
                <w:b/>
                <w:bCs/>
                <w:sz w:val="24"/>
                <w:szCs w:val="24"/>
              </w:rPr>
            </w:pPr>
            <w:r>
              <w:rPr>
                <w:rFonts w:eastAsia="Times New Roman" w:cs="Times New Roman"/>
                <w:b/>
                <w:bCs/>
                <w:sz w:val="24"/>
                <w:szCs w:val="24"/>
              </w:rPr>
              <w:t>Romer Implicit GNP Deflator</w:t>
            </w:r>
          </w:p>
          <w:p w14:paraId="1F7609ED" w14:textId="33ADE63F" w:rsidR="005C783E" w:rsidRPr="0057119D" w:rsidRDefault="005C783E" w:rsidP="002369F8">
            <w:pPr>
              <w:spacing w:after="0" w:line="240" w:lineRule="auto"/>
              <w:rPr>
                <w:rFonts w:eastAsia="Times New Roman" w:cs="Times New Roman"/>
                <w:b/>
                <w:bCs/>
                <w:sz w:val="24"/>
                <w:szCs w:val="24"/>
              </w:rPr>
            </w:pPr>
          </w:p>
        </w:tc>
        <w:tc>
          <w:tcPr>
            <w:tcW w:w="1458" w:type="dxa"/>
            <w:tcBorders>
              <w:top w:val="nil"/>
              <w:left w:val="single" w:sz="4" w:space="0" w:color="000000"/>
              <w:bottom w:val="single" w:sz="4" w:space="0" w:color="000000"/>
              <w:right w:val="single" w:sz="4" w:space="0" w:color="000000"/>
            </w:tcBorders>
          </w:tcPr>
          <w:p w14:paraId="0E677E60" w14:textId="77777777" w:rsidR="005C783E" w:rsidRDefault="005C783E" w:rsidP="002369F8">
            <w:pPr>
              <w:spacing w:after="0" w:line="240" w:lineRule="auto"/>
              <w:rPr>
                <w:rFonts w:eastAsia="Times New Roman" w:cs="Times New Roman"/>
                <w:b/>
                <w:bCs/>
                <w:sz w:val="24"/>
                <w:szCs w:val="24"/>
              </w:rPr>
            </w:pPr>
            <w:r>
              <w:rPr>
                <w:rFonts w:eastAsia="Times New Roman" w:cs="Times New Roman"/>
                <w:b/>
                <w:bCs/>
                <w:sz w:val="24"/>
                <w:szCs w:val="24"/>
              </w:rPr>
              <w:t xml:space="preserve">Lebergott /Weir </w:t>
            </w:r>
          </w:p>
          <w:p w14:paraId="3367E1F9" w14:textId="7B5883CF" w:rsidR="005C783E" w:rsidRDefault="005C783E" w:rsidP="002369F8">
            <w:pPr>
              <w:spacing w:after="0" w:line="240" w:lineRule="auto"/>
              <w:rPr>
                <w:rFonts w:eastAsia="Times New Roman" w:cs="Times New Roman"/>
                <w:b/>
                <w:bCs/>
                <w:sz w:val="24"/>
                <w:szCs w:val="24"/>
              </w:rPr>
            </w:pPr>
            <w:r>
              <w:rPr>
                <w:rFonts w:eastAsia="Times New Roman" w:cs="Times New Roman"/>
                <w:b/>
                <w:bCs/>
                <w:sz w:val="24"/>
                <w:szCs w:val="24"/>
              </w:rPr>
              <w:t>Civilian Unemploy rate</w:t>
            </w:r>
          </w:p>
        </w:tc>
      </w:tr>
      <w:tr w:rsidR="005C783E" w:rsidRPr="0057119D" w14:paraId="771005C0" w14:textId="77777777" w:rsidTr="002369F8">
        <w:trPr>
          <w:trHeight w:val="125"/>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14:paraId="57D60756" w14:textId="77777777" w:rsidR="005C783E" w:rsidRPr="0057119D" w:rsidRDefault="005C783E" w:rsidP="002369F8">
            <w:pPr>
              <w:spacing w:after="0" w:line="240" w:lineRule="auto"/>
              <w:ind w:firstLine="576"/>
              <w:rPr>
                <w:rFonts w:eastAsia="Times New Roman" w:cs="Times New Roman"/>
                <w:b/>
                <w:bCs/>
                <w:sz w:val="24"/>
                <w:szCs w:val="24"/>
              </w:rPr>
            </w:pPr>
          </w:p>
        </w:tc>
        <w:tc>
          <w:tcPr>
            <w:tcW w:w="1687" w:type="dxa"/>
            <w:tcBorders>
              <w:top w:val="nil"/>
              <w:left w:val="nil"/>
              <w:bottom w:val="single" w:sz="4" w:space="0" w:color="000000"/>
              <w:right w:val="single" w:sz="4" w:space="0" w:color="000000"/>
            </w:tcBorders>
            <w:shd w:val="clear" w:color="auto" w:fill="auto"/>
            <w:hideMark/>
          </w:tcPr>
          <w:p w14:paraId="48E45891" w14:textId="345C7C69" w:rsidR="005C783E" w:rsidRPr="0057119D" w:rsidRDefault="005C783E" w:rsidP="002369F8">
            <w:pPr>
              <w:spacing w:after="0" w:line="240" w:lineRule="auto"/>
              <w:ind w:firstLine="576"/>
              <w:rPr>
                <w:rFonts w:eastAsia="Times New Roman" w:cs="Times New Roman"/>
                <w:b/>
                <w:bCs/>
                <w:sz w:val="24"/>
                <w:szCs w:val="24"/>
              </w:rPr>
            </w:pPr>
            <w:r w:rsidRPr="0057119D">
              <w:rPr>
                <w:rFonts w:eastAsia="Times New Roman" w:cs="Times New Roman"/>
                <w:b/>
                <w:bCs/>
                <w:sz w:val="24"/>
                <w:szCs w:val="24"/>
              </w:rPr>
              <w:t xml:space="preserve">Ca213 </w:t>
            </w:r>
          </w:p>
        </w:tc>
        <w:tc>
          <w:tcPr>
            <w:tcW w:w="1541" w:type="dxa"/>
            <w:tcBorders>
              <w:top w:val="nil"/>
              <w:left w:val="nil"/>
              <w:bottom w:val="single" w:sz="4" w:space="0" w:color="000000"/>
              <w:right w:val="single" w:sz="4" w:space="0" w:color="000000"/>
            </w:tcBorders>
            <w:shd w:val="clear" w:color="auto" w:fill="auto"/>
            <w:hideMark/>
          </w:tcPr>
          <w:p w14:paraId="7B2682D9" w14:textId="2CF65976" w:rsidR="005C783E" w:rsidRPr="0057119D" w:rsidRDefault="005C783E" w:rsidP="002369F8">
            <w:pPr>
              <w:spacing w:after="0" w:line="240" w:lineRule="auto"/>
              <w:ind w:firstLine="576"/>
              <w:rPr>
                <w:rFonts w:eastAsia="Times New Roman" w:cs="Times New Roman"/>
                <w:b/>
                <w:bCs/>
                <w:sz w:val="24"/>
                <w:szCs w:val="24"/>
              </w:rPr>
            </w:pPr>
            <w:r w:rsidRPr="0057119D">
              <w:rPr>
                <w:rFonts w:eastAsia="Times New Roman" w:cs="Times New Roman"/>
                <w:b/>
                <w:bCs/>
                <w:sz w:val="24"/>
                <w:szCs w:val="24"/>
              </w:rPr>
              <w:t xml:space="preserve">Ca215 </w:t>
            </w:r>
          </w:p>
        </w:tc>
        <w:tc>
          <w:tcPr>
            <w:tcW w:w="1687" w:type="dxa"/>
            <w:tcBorders>
              <w:top w:val="nil"/>
              <w:left w:val="nil"/>
              <w:bottom w:val="single" w:sz="4" w:space="0" w:color="000000"/>
              <w:right w:val="single" w:sz="4" w:space="0" w:color="000000"/>
            </w:tcBorders>
            <w:shd w:val="clear" w:color="auto" w:fill="auto"/>
            <w:hideMark/>
          </w:tcPr>
          <w:p w14:paraId="0F76A650" w14:textId="3908ABF3" w:rsidR="005C783E" w:rsidRPr="0057119D" w:rsidRDefault="005C783E" w:rsidP="002369F8">
            <w:pPr>
              <w:spacing w:after="0" w:line="240" w:lineRule="auto"/>
              <w:ind w:firstLine="576"/>
              <w:rPr>
                <w:rFonts w:eastAsia="Times New Roman" w:cs="Times New Roman"/>
                <w:b/>
                <w:bCs/>
                <w:sz w:val="24"/>
                <w:szCs w:val="24"/>
              </w:rPr>
            </w:pPr>
            <w:r w:rsidRPr="0057119D">
              <w:rPr>
                <w:rFonts w:eastAsia="Times New Roman" w:cs="Times New Roman"/>
                <w:b/>
                <w:bCs/>
                <w:sz w:val="24"/>
                <w:szCs w:val="24"/>
              </w:rPr>
              <w:t xml:space="preserve">Ca216 </w:t>
            </w:r>
          </w:p>
        </w:tc>
        <w:tc>
          <w:tcPr>
            <w:tcW w:w="1458" w:type="dxa"/>
            <w:tcBorders>
              <w:top w:val="nil"/>
              <w:left w:val="nil"/>
              <w:bottom w:val="single" w:sz="4" w:space="0" w:color="000000"/>
              <w:right w:val="single" w:sz="4" w:space="0" w:color="000000"/>
            </w:tcBorders>
            <w:shd w:val="clear" w:color="auto" w:fill="auto"/>
            <w:hideMark/>
          </w:tcPr>
          <w:p w14:paraId="55D6F8B1" w14:textId="667AE549" w:rsidR="005C783E" w:rsidRPr="0057119D" w:rsidRDefault="005C783E" w:rsidP="002369F8">
            <w:pPr>
              <w:spacing w:after="0" w:line="240" w:lineRule="auto"/>
              <w:ind w:firstLine="576"/>
              <w:rPr>
                <w:rFonts w:eastAsia="Times New Roman" w:cs="Times New Roman"/>
                <w:b/>
                <w:bCs/>
                <w:sz w:val="24"/>
                <w:szCs w:val="24"/>
              </w:rPr>
            </w:pPr>
            <w:r w:rsidRPr="0057119D">
              <w:rPr>
                <w:rFonts w:eastAsia="Times New Roman" w:cs="Times New Roman"/>
                <w:b/>
                <w:bCs/>
                <w:sz w:val="24"/>
                <w:szCs w:val="24"/>
              </w:rPr>
              <w:t xml:space="preserve">Ca218 </w:t>
            </w:r>
          </w:p>
        </w:tc>
        <w:tc>
          <w:tcPr>
            <w:tcW w:w="1458" w:type="dxa"/>
            <w:tcBorders>
              <w:top w:val="nil"/>
              <w:left w:val="nil"/>
              <w:bottom w:val="single" w:sz="4" w:space="0" w:color="000000"/>
              <w:right w:val="single" w:sz="4" w:space="0" w:color="000000"/>
            </w:tcBorders>
          </w:tcPr>
          <w:p w14:paraId="330F8FE5" w14:textId="392E76E3" w:rsidR="005C783E" w:rsidRPr="0057119D" w:rsidRDefault="005C783E" w:rsidP="002369F8">
            <w:pPr>
              <w:spacing w:after="0" w:line="240" w:lineRule="auto"/>
              <w:ind w:firstLine="576"/>
              <w:rPr>
                <w:rFonts w:eastAsia="Times New Roman" w:cs="Times New Roman"/>
                <w:b/>
                <w:bCs/>
                <w:sz w:val="24"/>
                <w:szCs w:val="24"/>
              </w:rPr>
            </w:pPr>
            <w:r>
              <w:rPr>
                <w:rFonts w:eastAsia="Times New Roman" w:cs="Times New Roman"/>
                <w:b/>
                <w:bCs/>
                <w:sz w:val="24"/>
                <w:szCs w:val="24"/>
              </w:rPr>
              <w:t>Ba475</w:t>
            </w:r>
          </w:p>
        </w:tc>
      </w:tr>
      <w:tr w:rsidR="005C783E" w:rsidRPr="0057119D" w14:paraId="747CC6C9" w14:textId="77777777" w:rsidTr="002369F8">
        <w:trPr>
          <w:trHeight w:val="420"/>
        </w:trPr>
        <w:tc>
          <w:tcPr>
            <w:tcW w:w="1349" w:type="dxa"/>
            <w:vMerge/>
            <w:tcBorders>
              <w:top w:val="single" w:sz="4" w:space="0" w:color="000000"/>
              <w:left w:val="single" w:sz="4" w:space="0" w:color="000000"/>
              <w:bottom w:val="single" w:sz="4" w:space="0" w:color="000000"/>
              <w:right w:val="single" w:sz="4" w:space="0" w:color="000000"/>
            </w:tcBorders>
            <w:vAlign w:val="center"/>
            <w:hideMark/>
          </w:tcPr>
          <w:p w14:paraId="3CB9947B" w14:textId="77777777" w:rsidR="005C783E" w:rsidRPr="0057119D" w:rsidRDefault="005C783E" w:rsidP="002369F8">
            <w:pPr>
              <w:spacing w:after="0" w:line="240" w:lineRule="auto"/>
              <w:ind w:firstLine="576"/>
              <w:rPr>
                <w:rFonts w:eastAsia="Times New Roman" w:cs="Times New Roman"/>
                <w:b/>
                <w:bCs/>
                <w:sz w:val="24"/>
                <w:szCs w:val="24"/>
              </w:rPr>
            </w:pPr>
          </w:p>
        </w:tc>
        <w:tc>
          <w:tcPr>
            <w:tcW w:w="1687" w:type="dxa"/>
            <w:tcBorders>
              <w:top w:val="nil"/>
              <w:left w:val="nil"/>
              <w:bottom w:val="single" w:sz="4" w:space="0" w:color="000000"/>
              <w:right w:val="single" w:sz="4" w:space="0" w:color="000000"/>
            </w:tcBorders>
            <w:shd w:val="clear" w:color="auto" w:fill="auto"/>
            <w:hideMark/>
          </w:tcPr>
          <w:p w14:paraId="368204BB" w14:textId="260F83CC" w:rsidR="005C783E" w:rsidRPr="0057119D" w:rsidRDefault="005C783E" w:rsidP="002369F8">
            <w:pPr>
              <w:spacing w:after="0" w:line="240" w:lineRule="auto"/>
              <w:ind w:firstLine="576"/>
              <w:rPr>
                <w:rFonts w:eastAsia="Times New Roman" w:cs="Times New Roman"/>
                <w:b/>
                <w:bCs/>
                <w:sz w:val="24"/>
                <w:szCs w:val="24"/>
              </w:rPr>
            </w:pPr>
            <w:r w:rsidRPr="0057119D">
              <w:rPr>
                <w:rFonts w:eastAsia="Times New Roman" w:cs="Times New Roman"/>
                <w:b/>
                <w:bCs/>
                <w:sz w:val="24"/>
                <w:szCs w:val="24"/>
              </w:rPr>
              <w:t>Billion 1982 dollars</w:t>
            </w:r>
          </w:p>
        </w:tc>
        <w:tc>
          <w:tcPr>
            <w:tcW w:w="1541" w:type="dxa"/>
            <w:tcBorders>
              <w:top w:val="nil"/>
              <w:left w:val="nil"/>
              <w:bottom w:val="single" w:sz="4" w:space="0" w:color="000000"/>
              <w:right w:val="single" w:sz="4" w:space="0" w:color="000000"/>
            </w:tcBorders>
            <w:shd w:val="clear" w:color="auto" w:fill="auto"/>
            <w:hideMark/>
          </w:tcPr>
          <w:p w14:paraId="34FC4FCD" w14:textId="174C7CB3" w:rsidR="005C783E" w:rsidRPr="0057119D" w:rsidRDefault="005C783E" w:rsidP="002369F8">
            <w:pPr>
              <w:spacing w:after="0" w:line="240" w:lineRule="auto"/>
              <w:ind w:firstLine="576"/>
              <w:rPr>
                <w:rFonts w:eastAsia="Times New Roman" w:cs="Times New Roman"/>
                <w:b/>
                <w:bCs/>
                <w:sz w:val="24"/>
                <w:szCs w:val="24"/>
              </w:rPr>
            </w:pPr>
            <w:r w:rsidRPr="0057119D">
              <w:rPr>
                <w:rFonts w:eastAsia="Times New Roman" w:cs="Times New Roman"/>
                <w:b/>
                <w:bCs/>
                <w:sz w:val="24"/>
                <w:szCs w:val="24"/>
              </w:rPr>
              <w:t>Index 1982=100</w:t>
            </w:r>
          </w:p>
        </w:tc>
        <w:tc>
          <w:tcPr>
            <w:tcW w:w="1687" w:type="dxa"/>
            <w:tcBorders>
              <w:top w:val="nil"/>
              <w:left w:val="nil"/>
              <w:bottom w:val="single" w:sz="4" w:space="0" w:color="000000"/>
              <w:right w:val="single" w:sz="4" w:space="0" w:color="000000"/>
            </w:tcBorders>
            <w:shd w:val="clear" w:color="auto" w:fill="auto"/>
            <w:hideMark/>
          </w:tcPr>
          <w:p w14:paraId="4E8E4B75" w14:textId="0BB974F4" w:rsidR="005C783E" w:rsidRPr="0057119D" w:rsidRDefault="005C783E" w:rsidP="002369F8">
            <w:pPr>
              <w:spacing w:after="0" w:line="240" w:lineRule="auto"/>
              <w:ind w:firstLine="576"/>
              <w:rPr>
                <w:rFonts w:eastAsia="Times New Roman" w:cs="Times New Roman"/>
                <w:b/>
                <w:bCs/>
                <w:sz w:val="24"/>
                <w:szCs w:val="24"/>
              </w:rPr>
            </w:pPr>
            <w:r w:rsidRPr="0057119D">
              <w:rPr>
                <w:rFonts w:eastAsia="Times New Roman" w:cs="Times New Roman"/>
                <w:b/>
                <w:bCs/>
                <w:sz w:val="24"/>
                <w:szCs w:val="24"/>
              </w:rPr>
              <w:t>Billion 1982 dollars</w:t>
            </w:r>
          </w:p>
        </w:tc>
        <w:tc>
          <w:tcPr>
            <w:tcW w:w="1458" w:type="dxa"/>
            <w:tcBorders>
              <w:top w:val="nil"/>
              <w:left w:val="nil"/>
              <w:bottom w:val="single" w:sz="4" w:space="0" w:color="000000"/>
              <w:right w:val="single" w:sz="4" w:space="0" w:color="000000"/>
            </w:tcBorders>
            <w:shd w:val="clear" w:color="auto" w:fill="auto"/>
            <w:hideMark/>
          </w:tcPr>
          <w:p w14:paraId="43F19521" w14:textId="1624F0F5" w:rsidR="005C783E" w:rsidRPr="0057119D" w:rsidRDefault="005C783E" w:rsidP="002369F8">
            <w:pPr>
              <w:spacing w:after="0" w:line="240" w:lineRule="auto"/>
              <w:ind w:firstLine="576"/>
              <w:rPr>
                <w:rFonts w:eastAsia="Times New Roman" w:cs="Times New Roman"/>
                <w:b/>
                <w:bCs/>
                <w:sz w:val="24"/>
                <w:szCs w:val="24"/>
              </w:rPr>
            </w:pPr>
            <w:r w:rsidRPr="0057119D">
              <w:rPr>
                <w:rFonts w:eastAsia="Times New Roman" w:cs="Times New Roman"/>
                <w:b/>
                <w:bCs/>
                <w:sz w:val="24"/>
                <w:szCs w:val="24"/>
              </w:rPr>
              <w:t>Index 1982=100</w:t>
            </w:r>
          </w:p>
        </w:tc>
        <w:tc>
          <w:tcPr>
            <w:tcW w:w="1458" w:type="dxa"/>
            <w:tcBorders>
              <w:top w:val="nil"/>
              <w:left w:val="nil"/>
              <w:bottom w:val="single" w:sz="4" w:space="0" w:color="000000"/>
              <w:right w:val="single" w:sz="4" w:space="0" w:color="000000"/>
            </w:tcBorders>
          </w:tcPr>
          <w:p w14:paraId="25F2F3B9" w14:textId="52E504C9" w:rsidR="005C783E" w:rsidRPr="0057119D" w:rsidRDefault="005C783E" w:rsidP="002369F8">
            <w:pPr>
              <w:spacing w:after="0" w:line="240" w:lineRule="auto"/>
              <w:ind w:firstLine="576"/>
              <w:rPr>
                <w:rFonts w:eastAsia="Times New Roman" w:cs="Times New Roman"/>
                <w:b/>
                <w:bCs/>
                <w:sz w:val="24"/>
                <w:szCs w:val="24"/>
              </w:rPr>
            </w:pPr>
          </w:p>
        </w:tc>
      </w:tr>
      <w:tr w:rsidR="005C783E" w:rsidRPr="0057119D" w14:paraId="55C2456D" w14:textId="77777777" w:rsidTr="002369F8">
        <w:trPr>
          <w:trHeight w:val="250"/>
        </w:trPr>
        <w:tc>
          <w:tcPr>
            <w:tcW w:w="1349" w:type="dxa"/>
            <w:tcBorders>
              <w:top w:val="nil"/>
              <w:left w:val="single" w:sz="4" w:space="0" w:color="000000"/>
              <w:bottom w:val="single" w:sz="4" w:space="0" w:color="000000"/>
              <w:right w:val="single" w:sz="4" w:space="0" w:color="000000"/>
            </w:tcBorders>
            <w:shd w:val="clear" w:color="auto" w:fill="auto"/>
            <w:noWrap/>
            <w:vAlign w:val="bottom"/>
            <w:hideMark/>
          </w:tcPr>
          <w:p w14:paraId="71E31144" w14:textId="35D5EDF8"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`1919</w:t>
            </w:r>
          </w:p>
        </w:tc>
        <w:tc>
          <w:tcPr>
            <w:tcW w:w="1687" w:type="dxa"/>
            <w:tcBorders>
              <w:top w:val="nil"/>
              <w:left w:val="nil"/>
              <w:bottom w:val="single" w:sz="4" w:space="0" w:color="000000"/>
              <w:right w:val="single" w:sz="4" w:space="0" w:color="000000"/>
            </w:tcBorders>
            <w:shd w:val="clear" w:color="auto" w:fill="auto"/>
            <w:noWrap/>
            <w:vAlign w:val="bottom"/>
            <w:hideMark/>
          </w:tcPr>
          <w:p w14:paraId="2F1A4E79" w14:textId="13743623"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507.1</w:t>
            </w:r>
          </w:p>
        </w:tc>
        <w:tc>
          <w:tcPr>
            <w:tcW w:w="1541" w:type="dxa"/>
            <w:tcBorders>
              <w:top w:val="nil"/>
              <w:left w:val="nil"/>
              <w:bottom w:val="single" w:sz="4" w:space="0" w:color="000000"/>
              <w:right w:val="single" w:sz="4" w:space="0" w:color="000000"/>
            </w:tcBorders>
            <w:shd w:val="clear" w:color="auto" w:fill="auto"/>
            <w:noWrap/>
            <w:vAlign w:val="bottom"/>
            <w:hideMark/>
          </w:tcPr>
          <w:p w14:paraId="1F4139AC" w14:textId="1AB7EB44"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15.2</w:t>
            </w:r>
          </w:p>
        </w:tc>
        <w:tc>
          <w:tcPr>
            <w:tcW w:w="1687" w:type="dxa"/>
            <w:tcBorders>
              <w:top w:val="nil"/>
              <w:left w:val="nil"/>
              <w:bottom w:val="single" w:sz="4" w:space="0" w:color="000000"/>
              <w:right w:val="single" w:sz="4" w:space="0" w:color="000000"/>
            </w:tcBorders>
            <w:shd w:val="clear" w:color="auto" w:fill="auto"/>
            <w:noWrap/>
            <w:vAlign w:val="bottom"/>
            <w:hideMark/>
          </w:tcPr>
          <w:p w14:paraId="244E3A6D" w14:textId="7879816C"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503.9</w:t>
            </w:r>
          </w:p>
        </w:tc>
        <w:tc>
          <w:tcPr>
            <w:tcW w:w="1458" w:type="dxa"/>
            <w:tcBorders>
              <w:top w:val="nil"/>
              <w:left w:val="nil"/>
              <w:bottom w:val="single" w:sz="4" w:space="0" w:color="000000"/>
              <w:right w:val="single" w:sz="4" w:space="0" w:color="000000"/>
            </w:tcBorders>
            <w:shd w:val="clear" w:color="auto" w:fill="auto"/>
            <w:noWrap/>
            <w:vAlign w:val="bottom"/>
            <w:hideMark/>
          </w:tcPr>
          <w:p w14:paraId="68243140" w14:textId="17F417A4"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15.6</w:t>
            </w:r>
          </w:p>
        </w:tc>
        <w:tc>
          <w:tcPr>
            <w:tcW w:w="1458" w:type="dxa"/>
            <w:tcBorders>
              <w:top w:val="nil"/>
              <w:left w:val="nil"/>
              <w:bottom w:val="single" w:sz="4" w:space="0" w:color="000000"/>
              <w:right w:val="single" w:sz="4" w:space="0" w:color="000000"/>
            </w:tcBorders>
          </w:tcPr>
          <w:p w14:paraId="4F82534B" w14:textId="605F487C" w:rsidR="005C783E" w:rsidRPr="0057119D" w:rsidRDefault="005C783E" w:rsidP="002369F8">
            <w:pPr>
              <w:spacing w:after="0" w:line="240" w:lineRule="auto"/>
              <w:ind w:firstLine="576"/>
              <w:jc w:val="right"/>
              <w:rPr>
                <w:rFonts w:eastAsia="Times New Roman" w:cs="Times New Roman"/>
                <w:sz w:val="24"/>
                <w:szCs w:val="24"/>
              </w:rPr>
            </w:pPr>
            <w:r>
              <w:rPr>
                <w:rFonts w:eastAsia="Times New Roman" w:cs="Times New Roman"/>
                <w:sz w:val="24"/>
                <w:szCs w:val="24"/>
              </w:rPr>
              <w:t>2.34</w:t>
            </w:r>
          </w:p>
        </w:tc>
      </w:tr>
      <w:tr w:rsidR="005C783E" w:rsidRPr="0057119D" w14:paraId="210841AD" w14:textId="77777777" w:rsidTr="002369F8">
        <w:trPr>
          <w:trHeight w:val="250"/>
        </w:trPr>
        <w:tc>
          <w:tcPr>
            <w:tcW w:w="1349" w:type="dxa"/>
            <w:tcBorders>
              <w:top w:val="nil"/>
              <w:left w:val="single" w:sz="4" w:space="0" w:color="000000"/>
              <w:bottom w:val="single" w:sz="4" w:space="0" w:color="000000"/>
              <w:right w:val="single" w:sz="4" w:space="0" w:color="000000"/>
            </w:tcBorders>
            <w:shd w:val="clear" w:color="auto" w:fill="auto"/>
            <w:noWrap/>
            <w:vAlign w:val="bottom"/>
            <w:hideMark/>
          </w:tcPr>
          <w:p w14:paraId="18EE56FE" w14:textId="05CA1E42"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1920</w:t>
            </w:r>
          </w:p>
        </w:tc>
        <w:tc>
          <w:tcPr>
            <w:tcW w:w="1687" w:type="dxa"/>
            <w:tcBorders>
              <w:top w:val="nil"/>
              <w:left w:val="nil"/>
              <w:bottom w:val="single" w:sz="4" w:space="0" w:color="000000"/>
              <w:right w:val="single" w:sz="4" w:space="0" w:color="000000"/>
            </w:tcBorders>
            <w:shd w:val="clear" w:color="auto" w:fill="auto"/>
            <w:noWrap/>
            <w:vAlign w:val="bottom"/>
            <w:hideMark/>
          </w:tcPr>
          <w:p w14:paraId="0A8C1370" w14:textId="13C0770A"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496.3</w:t>
            </w:r>
          </w:p>
        </w:tc>
        <w:tc>
          <w:tcPr>
            <w:tcW w:w="1541" w:type="dxa"/>
            <w:tcBorders>
              <w:top w:val="nil"/>
              <w:left w:val="nil"/>
              <w:bottom w:val="single" w:sz="4" w:space="0" w:color="000000"/>
              <w:right w:val="single" w:sz="4" w:space="0" w:color="000000"/>
            </w:tcBorders>
            <w:shd w:val="clear" w:color="auto" w:fill="auto"/>
            <w:noWrap/>
            <w:vAlign w:val="bottom"/>
            <w:hideMark/>
          </w:tcPr>
          <w:p w14:paraId="3AD255E7" w14:textId="1B3BE155"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17.6</w:t>
            </w:r>
          </w:p>
        </w:tc>
        <w:tc>
          <w:tcPr>
            <w:tcW w:w="1687" w:type="dxa"/>
            <w:tcBorders>
              <w:top w:val="nil"/>
              <w:left w:val="nil"/>
              <w:bottom w:val="single" w:sz="4" w:space="0" w:color="000000"/>
              <w:right w:val="single" w:sz="4" w:space="0" w:color="000000"/>
            </w:tcBorders>
            <w:shd w:val="clear" w:color="auto" w:fill="auto"/>
            <w:noWrap/>
            <w:vAlign w:val="bottom"/>
            <w:hideMark/>
          </w:tcPr>
          <w:p w14:paraId="32364AD2" w14:textId="5B6231AC"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498.1</w:t>
            </w:r>
          </w:p>
        </w:tc>
        <w:tc>
          <w:tcPr>
            <w:tcW w:w="1458" w:type="dxa"/>
            <w:tcBorders>
              <w:top w:val="nil"/>
              <w:left w:val="nil"/>
              <w:bottom w:val="single" w:sz="4" w:space="0" w:color="000000"/>
              <w:right w:val="single" w:sz="4" w:space="0" w:color="000000"/>
            </w:tcBorders>
            <w:shd w:val="clear" w:color="auto" w:fill="auto"/>
            <w:noWrap/>
            <w:vAlign w:val="bottom"/>
            <w:hideMark/>
          </w:tcPr>
          <w:p w14:paraId="67E13433" w14:textId="642A8A4A"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17.7</w:t>
            </w:r>
          </w:p>
        </w:tc>
        <w:tc>
          <w:tcPr>
            <w:tcW w:w="1458" w:type="dxa"/>
            <w:tcBorders>
              <w:top w:val="nil"/>
              <w:left w:val="nil"/>
              <w:bottom w:val="single" w:sz="4" w:space="0" w:color="000000"/>
              <w:right w:val="single" w:sz="4" w:space="0" w:color="000000"/>
            </w:tcBorders>
          </w:tcPr>
          <w:p w14:paraId="459C8788" w14:textId="3F40EDB7" w:rsidR="005C783E" w:rsidRPr="0057119D" w:rsidRDefault="005C783E" w:rsidP="002369F8">
            <w:pPr>
              <w:spacing w:after="0" w:line="240" w:lineRule="auto"/>
              <w:ind w:firstLine="576"/>
              <w:jc w:val="right"/>
              <w:rPr>
                <w:rFonts w:eastAsia="Times New Roman" w:cs="Times New Roman"/>
                <w:sz w:val="24"/>
                <w:szCs w:val="24"/>
              </w:rPr>
            </w:pPr>
            <w:r>
              <w:rPr>
                <w:rFonts w:eastAsia="Times New Roman" w:cs="Times New Roman"/>
                <w:sz w:val="24"/>
                <w:szCs w:val="24"/>
              </w:rPr>
              <w:t>5.16</w:t>
            </w:r>
          </w:p>
        </w:tc>
      </w:tr>
      <w:tr w:rsidR="005C783E" w:rsidRPr="0057119D" w14:paraId="7481A590" w14:textId="77777777" w:rsidTr="002369F8">
        <w:trPr>
          <w:trHeight w:val="250"/>
        </w:trPr>
        <w:tc>
          <w:tcPr>
            <w:tcW w:w="1349" w:type="dxa"/>
            <w:tcBorders>
              <w:top w:val="nil"/>
              <w:left w:val="single" w:sz="4" w:space="0" w:color="000000"/>
              <w:bottom w:val="single" w:sz="4" w:space="0" w:color="000000"/>
              <w:right w:val="single" w:sz="4" w:space="0" w:color="000000"/>
            </w:tcBorders>
            <w:shd w:val="clear" w:color="auto" w:fill="auto"/>
            <w:noWrap/>
            <w:vAlign w:val="bottom"/>
            <w:hideMark/>
          </w:tcPr>
          <w:p w14:paraId="54CC5872" w14:textId="7F23CA62"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1921</w:t>
            </w:r>
          </w:p>
        </w:tc>
        <w:tc>
          <w:tcPr>
            <w:tcW w:w="1687" w:type="dxa"/>
            <w:tcBorders>
              <w:top w:val="nil"/>
              <w:left w:val="nil"/>
              <w:bottom w:val="single" w:sz="4" w:space="0" w:color="000000"/>
              <w:right w:val="single" w:sz="4" w:space="0" w:color="000000"/>
            </w:tcBorders>
            <w:shd w:val="clear" w:color="auto" w:fill="auto"/>
            <w:noWrap/>
            <w:vAlign w:val="bottom"/>
            <w:hideMark/>
          </w:tcPr>
          <w:p w14:paraId="3E69FC02" w14:textId="0E7278CC"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478.8</w:t>
            </w:r>
          </w:p>
        </w:tc>
        <w:tc>
          <w:tcPr>
            <w:tcW w:w="1541" w:type="dxa"/>
            <w:tcBorders>
              <w:top w:val="nil"/>
              <w:left w:val="nil"/>
              <w:bottom w:val="single" w:sz="4" w:space="0" w:color="000000"/>
              <w:right w:val="single" w:sz="4" w:space="0" w:color="000000"/>
            </w:tcBorders>
            <w:shd w:val="clear" w:color="auto" w:fill="auto"/>
            <w:noWrap/>
            <w:vAlign w:val="bottom"/>
            <w:hideMark/>
          </w:tcPr>
          <w:p w14:paraId="02F5B677" w14:textId="39D36B6C"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15.3</w:t>
            </w:r>
          </w:p>
        </w:tc>
        <w:tc>
          <w:tcPr>
            <w:tcW w:w="1687" w:type="dxa"/>
            <w:tcBorders>
              <w:top w:val="nil"/>
              <w:left w:val="nil"/>
              <w:bottom w:val="single" w:sz="4" w:space="0" w:color="000000"/>
              <w:right w:val="single" w:sz="4" w:space="0" w:color="000000"/>
            </w:tcBorders>
            <w:shd w:val="clear" w:color="auto" w:fill="auto"/>
            <w:noWrap/>
            <w:vAlign w:val="bottom"/>
            <w:hideMark/>
          </w:tcPr>
          <w:p w14:paraId="2765AFA0" w14:textId="75551323"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486.4</w:t>
            </w:r>
          </w:p>
        </w:tc>
        <w:tc>
          <w:tcPr>
            <w:tcW w:w="1458" w:type="dxa"/>
            <w:tcBorders>
              <w:top w:val="nil"/>
              <w:left w:val="nil"/>
              <w:bottom w:val="single" w:sz="4" w:space="0" w:color="000000"/>
              <w:right w:val="single" w:sz="4" w:space="0" w:color="000000"/>
            </w:tcBorders>
            <w:shd w:val="clear" w:color="auto" w:fill="auto"/>
            <w:noWrap/>
            <w:vAlign w:val="bottom"/>
            <w:hideMark/>
          </w:tcPr>
          <w:p w14:paraId="030F500B" w14:textId="1E26AA35"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15.1</w:t>
            </w:r>
          </w:p>
        </w:tc>
        <w:tc>
          <w:tcPr>
            <w:tcW w:w="1458" w:type="dxa"/>
            <w:tcBorders>
              <w:top w:val="nil"/>
              <w:left w:val="nil"/>
              <w:bottom w:val="single" w:sz="4" w:space="0" w:color="000000"/>
              <w:right w:val="single" w:sz="4" w:space="0" w:color="000000"/>
            </w:tcBorders>
          </w:tcPr>
          <w:p w14:paraId="7D7E61FA" w14:textId="00D2675C" w:rsidR="005C783E" w:rsidRPr="0057119D" w:rsidRDefault="005C783E" w:rsidP="002369F8">
            <w:pPr>
              <w:spacing w:after="0" w:line="240" w:lineRule="auto"/>
              <w:ind w:firstLine="576"/>
              <w:jc w:val="right"/>
              <w:rPr>
                <w:rFonts w:eastAsia="Times New Roman" w:cs="Times New Roman"/>
                <w:sz w:val="24"/>
                <w:szCs w:val="24"/>
              </w:rPr>
            </w:pPr>
            <w:r>
              <w:rPr>
                <w:rFonts w:eastAsia="Times New Roman" w:cs="Times New Roman"/>
                <w:sz w:val="24"/>
                <w:szCs w:val="24"/>
              </w:rPr>
              <w:t>11.33</w:t>
            </w:r>
          </w:p>
        </w:tc>
      </w:tr>
      <w:tr w:rsidR="005C783E" w:rsidRPr="0057119D" w14:paraId="2EADE038" w14:textId="77777777" w:rsidTr="002369F8">
        <w:trPr>
          <w:trHeight w:val="250"/>
        </w:trPr>
        <w:tc>
          <w:tcPr>
            <w:tcW w:w="1349" w:type="dxa"/>
            <w:tcBorders>
              <w:top w:val="nil"/>
              <w:left w:val="single" w:sz="4" w:space="0" w:color="000000"/>
              <w:bottom w:val="single" w:sz="4" w:space="0" w:color="000000"/>
              <w:right w:val="single" w:sz="4" w:space="0" w:color="000000"/>
            </w:tcBorders>
            <w:shd w:val="clear" w:color="auto" w:fill="auto"/>
            <w:noWrap/>
            <w:vAlign w:val="bottom"/>
            <w:hideMark/>
          </w:tcPr>
          <w:p w14:paraId="2CB96BE4" w14:textId="3EC0D387"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1922</w:t>
            </w:r>
          </w:p>
        </w:tc>
        <w:tc>
          <w:tcPr>
            <w:tcW w:w="1687" w:type="dxa"/>
            <w:tcBorders>
              <w:top w:val="nil"/>
              <w:left w:val="nil"/>
              <w:bottom w:val="single" w:sz="4" w:space="0" w:color="000000"/>
              <w:right w:val="single" w:sz="4" w:space="0" w:color="000000"/>
            </w:tcBorders>
            <w:shd w:val="clear" w:color="auto" w:fill="auto"/>
            <w:noWrap/>
            <w:vAlign w:val="bottom"/>
            <w:hideMark/>
          </w:tcPr>
          <w:p w14:paraId="606CD6ED" w14:textId="5C743FD4"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513.2</w:t>
            </w:r>
          </w:p>
        </w:tc>
        <w:tc>
          <w:tcPr>
            <w:tcW w:w="1541" w:type="dxa"/>
            <w:tcBorders>
              <w:top w:val="nil"/>
              <w:left w:val="nil"/>
              <w:bottom w:val="single" w:sz="4" w:space="0" w:color="000000"/>
              <w:right w:val="single" w:sz="4" w:space="0" w:color="000000"/>
            </w:tcBorders>
            <w:shd w:val="clear" w:color="auto" w:fill="auto"/>
            <w:noWrap/>
            <w:vAlign w:val="bottom"/>
            <w:hideMark/>
          </w:tcPr>
          <w:p w14:paraId="4A7E3EC7" w14:textId="6C1C2081"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14.2</w:t>
            </w:r>
          </w:p>
        </w:tc>
        <w:tc>
          <w:tcPr>
            <w:tcW w:w="1687" w:type="dxa"/>
            <w:tcBorders>
              <w:top w:val="nil"/>
              <w:left w:val="nil"/>
              <w:bottom w:val="single" w:sz="4" w:space="0" w:color="000000"/>
              <w:right w:val="single" w:sz="4" w:space="0" w:color="000000"/>
            </w:tcBorders>
            <w:shd w:val="clear" w:color="auto" w:fill="auto"/>
            <w:noWrap/>
            <w:vAlign w:val="bottom"/>
            <w:hideMark/>
          </w:tcPr>
          <w:p w14:paraId="683B3BB8" w14:textId="731A2C64"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514.9</w:t>
            </w:r>
          </w:p>
        </w:tc>
        <w:tc>
          <w:tcPr>
            <w:tcW w:w="1458" w:type="dxa"/>
            <w:tcBorders>
              <w:top w:val="nil"/>
              <w:left w:val="nil"/>
              <w:bottom w:val="single" w:sz="4" w:space="0" w:color="000000"/>
              <w:right w:val="single" w:sz="4" w:space="0" w:color="000000"/>
            </w:tcBorders>
            <w:shd w:val="clear" w:color="auto" w:fill="auto"/>
            <w:noWrap/>
            <w:vAlign w:val="bottom"/>
            <w:hideMark/>
          </w:tcPr>
          <w:p w14:paraId="436F0378" w14:textId="71BBC3C0"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14.3</w:t>
            </w:r>
          </w:p>
        </w:tc>
        <w:tc>
          <w:tcPr>
            <w:tcW w:w="1458" w:type="dxa"/>
            <w:tcBorders>
              <w:top w:val="nil"/>
              <w:left w:val="nil"/>
              <w:bottom w:val="single" w:sz="4" w:space="0" w:color="000000"/>
              <w:right w:val="single" w:sz="4" w:space="0" w:color="000000"/>
            </w:tcBorders>
          </w:tcPr>
          <w:p w14:paraId="14E4F594" w14:textId="48849CA7" w:rsidR="005C783E" w:rsidRPr="0057119D" w:rsidRDefault="005C783E" w:rsidP="002369F8">
            <w:pPr>
              <w:spacing w:after="0" w:line="240" w:lineRule="auto"/>
              <w:ind w:firstLine="576"/>
              <w:jc w:val="right"/>
              <w:rPr>
                <w:rFonts w:eastAsia="Times New Roman" w:cs="Times New Roman"/>
                <w:sz w:val="24"/>
                <w:szCs w:val="24"/>
              </w:rPr>
            </w:pPr>
            <w:r>
              <w:rPr>
                <w:rFonts w:eastAsia="Times New Roman" w:cs="Times New Roman"/>
                <w:sz w:val="24"/>
                <w:szCs w:val="24"/>
              </w:rPr>
              <w:t>8.56</w:t>
            </w:r>
          </w:p>
        </w:tc>
      </w:tr>
      <w:tr w:rsidR="005C783E" w:rsidRPr="0057119D" w14:paraId="795DA191" w14:textId="77777777" w:rsidTr="002369F8">
        <w:trPr>
          <w:trHeight w:val="250"/>
        </w:trPr>
        <w:tc>
          <w:tcPr>
            <w:tcW w:w="1349" w:type="dxa"/>
            <w:tcBorders>
              <w:top w:val="nil"/>
              <w:left w:val="single" w:sz="4" w:space="0" w:color="000000"/>
              <w:bottom w:val="single" w:sz="4" w:space="0" w:color="000000"/>
              <w:right w:val="single" w:sz="4" w:space="0" w:color="000000"/>
            </w:tcBorders>
            <w:shd w:val="clear" w:color="auto" w:fill="auto"/>
            <w:noWrap/>
            <w:vAlign w:val="bottom"/>
            <w:hideMark/>
          </w:tcPr>
          <w:p w14:paraId="5F7F99AF" w14:textId="11B4DB4E"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1923</w:t>
            </w:r>
          </w:p>
        </w:tc>
        <w:tc>
          <w:tcPr>
            <w:tcW w:w="1687" w:type="dxa"/>
            <w:tcBorders>
              <w:top w:val="nil"/>
              <w:left w:val="nil"/>
              <w:bottom w:val="single" w:sz="4" w:space="0" w:color="000000"/>
              <w:right w:val="single" w:sz="4" w:space="0" w:color="000000"/>
            </w:tcBorders>
            <w:shd w:val="clear" w:color="auto" w:fill="auto"/>
            <w:noWrap/>
            <w:vAlign w:val="bottom"/>
            <w:hideMark/>
          </w:tcPr>
          <w:p w14:paraId="3D37CA82" w14:textId="6352C3A9"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585</w:t>
            </w:r>
            <w:r>
              <w:rPr>
                <w:rFonts w:eastAsia="Times New Roman" w:cs="Times New Roman"/>
                <w:sz w:val="24"/>
                <w:szCs w:val="24"/>
              </w:rPr>
              <w:t>.0</w:t>
            </w:r>
          </w:p>
        </w:tc>
        <w:tc>
          <w:tcPr>
            <w:tcW w:w="1541" w:type="dxa"/>
            <w:tcBorders>
              <w:top w:val="nil"/>
              <w:left w:val="nil"/>
              <w:bottom w:val="single" w:sz="4" w:space="0" w:color="000000"/>
              <w:right w:val="single" w:sz="4" w:space="0" w:color="000000"/>
            </w:tcBorders>
            <w:shd w:val="clear" w:color="auto" w:fill="auto"/>
            <w:noWrap/>
            <w:vAlign w:val="bottom"/>
            <w:hideMark/>
          </w:tcPr>
          <w:p w14:paraId="2060A157" w14:textId="45CCD898"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14.6</w:t>
            </w:r>
          </w:p>
        </w:tc>
        <w:tc>
          <w:tcPr>
            <w:tcW w:w="1687" w:type="dxa"/>
            <w:tcBorders>
              <w:top w:val="nil"/>
              <w:left w:val="nil"/>
              <w:bottom w:val="single" w:sz="4" w:space="0" w:color="000000"/>
              <w:right w:val="single" w:sz="4" w:space="0" w:color="000000"/>
            </w:tcBorders>
            <w:shd w:val="clear" w:color="auto" w:fill="auto"/>
            <w:noWrap/>
            <w:vAlign w:val="bottom"/>
            <w:hideMark/>
          </w:tcPr>
          <w:p w14:paraId="361A3E5A" w14:textId="546ABAAB"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583.1</w:t>
            </w:r>
          </w:p>
        </w:tc>
        <w:tc>
          <w:tcPr>
            <w:tcW w:w="1458" w:type="dxa"/>
            <w:tcBorders>
              <w:top w:val="nil"/>
              <w:left w:val="nil"/>
              <w:bottom w:val="single" w:sz="4" w:space="0" w:color="000000"/>
              <w:right w:val="single" w:sz="4" w:space="0" w:color="000000"/>
            </w:tcBorders>
            <w:shd w:val="clear" w:color="auto" w:fill="auto"/>
            <w:noWrap/>
            <w:vAlign w:val="bottom"/>
            <w:hideMark/>
          </w:tcPr>
          <w:p w14:paraId="27D6E1EE" w14:textId="31A912F7"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14.7</w:t>
            </w:r>
          </w:p>
        </w:tc>
        <w:tc>
          <w:tcPr>
            <w:tcW w:w="1458" w:type="dxa"/>
            <w:tcBorders>
              <w:top w:val="nil"/>
              <w:left w:val="nil"/>
              <w:bottom w:val="single" w:sz="4" w:space="0" w:color="000000"/>
              <w:right w:val="single" w:sz="4" w:space="0" w:color="000000"/>
            </w:tcBorders>
          </w:tcPr>
          <w:p w14:paraId="79A63C20" w14:textId="1DB0955C" w:rsidR="005C783E" w:rsidRPr="0057119D" w:rsidRDefault="005C783E" w:rsidP="002369F8">
            <w:pPr>
              <w:spacing w:after="0" w:line="240" w:lineRule="auto"/>
              <w:ind w:firstLine="576"/>
              <w:jc w:val="right"/>
              <w:rPr>
                <w:rFonts w:eastAsia="Times New Roman" w:cs="Times New Roman"/>
                <w:sz w:val="24"/>
                <w:szCs w:val="24"/>
              </w:rPr>
            </w:pPr>
            <w:r>
              <w:rPr>
                <w:rFonts w:eastAsia="Times New Roman" w:cs="Times New Roman"/>
                <w:sz w:val="24"/>
                <w:szCs w:val="24"/>
              </w:rPr>
              <w:t>4.32</w:t>
            </w:r>
          </w:p>
        </w:tc>
      </w:tr>
      <w:tr w:rsidR="005C783E" w:rsidRPr="0057119D" w14:paraId="735E3907" w14:textId="77777777" w:rsidTr="002369F8">
        <w:trPr>
          <w:trHeight w:val="250"/>
        </w:trPr>
        <w:tc>
          <w:tcPr>
            <w:tcW w:w="1349" w:type="dxa"/>
            <w:tcBorders>
              <w:top w:val="nil"/>
              <w:left w:val="single" w:sz="4" w:space="0" w:color="000000"/>
              <w:bottom w:val="single" w:sz="4" w:space="0" w:color="000000"/>
              <w:right w:val="single" w:sz="4" w:space="0" w:color="000000"/>
            </w:tcBorders>
            <w:shd w:val="clear" w:color="auto" w:fill="auto"/>
            <w:noWrap/>
            <w:vAlign w:val="bottom"/>
            <w:hideMark/>
          </w:tcPr>
          <w:p w14:paraId="180C20F4" w14:textId="660233CE"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1924</w:t>
            </w:r>
          </w:p>
        </w:tc>
        <w:tc>
          <w:tcPr>
            <w:tcW w:w="1687" w:type="dxa"/>
            <w:tcBorders>
              <w:top w:val="nil"/>
              <w:left w:val="nil"/>
              <w:bottom w:val="single" w:sz="4" w:space="0" w:color="000000"/>
              <w:right w:val="single" w:sz="4" w:space="0" w:color="000000"/>
            </w:tcBorders>
            <w:shd w:val="clear" w:color="auto" w:fill="auto"/>
            <w:noWrap/>
            <w:vAlign w:val="bottom"/>
            <w:hideMark/>
          </w:tcPr>
          <w:p w14:paraId="2458EC10" w14:textId="34CD1DBE"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600.5</w:t>
            </w:r>
          </w:p>
        </w:tc>
        <w:tc>
          <w:tcPr>
            <w:tcW w:w="1541" w:type="dxa"/>
            <w:tcBorders>
              <w:top w:val="nil"/>
              <w:left w:val="nil"/>
              <w:bottom w:val="single" w:sz="4" w:space="0" w:color="000000"/>
              <w:right w:val="single" w:sz="4" w:space="0" w:color="000000"/>
            </w:tcBorders>
            <w:shd w:val="clear" w:color="auto" w:fill="auto"/>
            <w:noWrap/>
            <w:vAlign w:val="bottom"/>
            <w:hideMark/>
          </w:tcPr>
          <w:p w14:paraId="0264D6DE" w14:textId="520FFBF1"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14.6</w:t>
            </w:r>
          </w:p>
        </w:tc>
        <w:tc>
          <w:tcPr>
            <w:tcW w:w="1687" w:type="dxa"/>
            <w:tcBorders>
              <w:top w:val="nil"/>
              <w:left w:val="nil"/>
              <w:bottom w:val="single" w:sz="4" w:space="0" w:color="000000"/>
              <w:right w:val="single" w:sz="4" w:space="0" w:color="000000"/>
            </w:tcBorders>
            <w:shd w:val="clear" w:color="auto" w:fill="auto"/>
            <w:noWrap/>
            <w:vAlign w:val="bottom"/>
            <w:hideMark/>
          </w:tcPr>
          <w:p w14:paraId="7193A6D6" w14:textId="3502C89B"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600.4</w:t>
            </w:r>
          </w:p>
        </w:tc>
        <w:tc>
          <w:tcPr>
            <w:tcW w:w="1458" w:type="dxa"/>
            <w:tcBorders>
              <w:top w:val="nil"/>
              <w:left w:val="nil"/>
              <w:bottom w:val="single" w:sz="4" w:space="0" w:color="000000"/>
              <w:right w:val="single" w:sz="4" w:space="0" w:color="000000"/>
            </w:tcBorders>
            <w:shd w:val="clear" w:color="auto" w:fill="auto"/>
            <w:noWrap/>
            <w:vAlign w:val="bottom"/>
            <w:hideMark/>
          </w:tcPr>
          <w:p w14:paraId="487455AE" w14:textId="7A9250AB"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14.5</w:t>
            </w:r>
          </w:p>
        </w:tc>
        <w:tc>
          <w:tcPr>
            <w:tcW w:w="1458" w:type="dxa"/>
            <w:tcBorders>
              <w:top w:val="nil"/>
              <w:left w:val="nil"/>
              <w:bottom w:val="single" w:sz="4" w:space="0" w:color="000000"/>
              <w:right w:val="single" w:sz="4" w:space="0" w:color="000000"/>
            </w:tcBorders>
          </w:tcPr>
          <w:p w14:paraId="3207E162" w14:textId="6919A074" w:rsidR="005C783E" w:rsidRPr="0057119D" w:rsidRDefault="005C783E" w:rsidP="002369F8">
            <w:pPr>
              <w:spacing w:after="0" w:line="240" w:lineRule="auto"/>
              <w:ind w:firstLine="576"/>
              <w:jc w:val="right"/>
              <w:rPr>
                <w:rFonts w:eastAsia="Times New Roman" w:cs="Times New Roman"/>
                <w:sz w:val="24"/>
                <w:szCs w:val="24"/>
              </w:rPr>
            </w:pPr>
            <w:r>
              <w:rPr>
                <w:rFonts w:eastAsia="Times New Roman" w:cs="Times New Roman"/>
                <w:sz w:val="24"/>
                <w:szCs w:val="24"/>
              </w:rPr>
              <w:t>5.29</w:t>
            </w:r>
          </w:p>
        </w:tc>
      </w:tr>
      <w:tr w:rsidR="005C783E" w:rsidRPr="0057119D" w14:paraId="77BE796A" w14:textId="77777777" w:rsidTr="002369F8">
        <w:trPr>
          <w:trHeight w:val="250"/>
        </w:trPr>
        <w:tc>
          <w:tcPr>
            <w:tcW w:w="1349" w:type="dxa"/>
            <w:tcBorders>
              <w:top w:val="nil"/>
              <w:left w:val="single" w:sz="4" w:space="0" w:color="000000"/>
              <w:bottom w:val="single" w:sz="4" w:space="0" w:color="000000"/>
              <w:right w:val="single" w:sz="4" w:space="0" w:color="000000"/>
            </w:tcBorders>
            <w:shd w:val="clear" w:color="auto" w:fill="auto"/>
            <w:noWrap/>
            <w:vAlign w:val="bottom"/>
            <w:hideMark/>
          </w:tcPr>
          <w:p w14:paraId="00BEA5E0" w14:textId="5FE3D78A"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1925</w:t>
            </w:r>
          </w:p>
        </w:tc>
        <w:tc>
          <w:tcPr>
            <w:tcW w:w="1687" w:type="dxa"/>
            <w:tcBorders>
              <w:top w:val="nil"/>
              <w:left w:val="nil"/>
              <w:bottom w:val="single" w:sz="4" w:space="0" w:color="000000"/>
              <w:right w:val="single" w:sz="4" w:space="0" w:color="000000"/>
            </w:tcBorders>
            <w:shd w:val="clear" w:color="auto" w:fill="auto"/>
            <w:noWrap/>
            <w:vAlign w:val="bottom"/>
            <w:hideMark/>
          </w:tcPr>
          <w:p w14:paraId="2CEE3E3F" w14:textId="115CF825"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614.1</w:t>
            </w:r>
          </w:p>
        </w:tc>
        <w:tc>
          <w:tcPr>
            <w:tcW w:w="1541" w:type="dxa"/>
            <w:tcBorders>
              <w:top w:val="nil"/>
              <w:left w:val="nil"/>
              <w:bottom w:val="single" w:sz="4" w:space="0" w:color="000000"/>
              <w:right w:val="single" w:sz="4" w:space="0" w:color="000000"/>
            </w:tcBorders>
            <w:shd w:val="clear" w:color="auto" w:fill="auto"/>
            <w:noWrap/>
            <w:vAlign w:val="bottom"/>
            <w:hideMark/>
          </w:tcPr>
          <w:p w14:paraId="4AD6AF62" w14:textId="133EC3BF"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14.9</w:t>
            </w:r>
          </w:p>
        </w:tc>
        <w:tc>
          <w:tcPr>
            <w:tcW w:w="1687" w:type="dxa"/>
            <w:tcBorders>
              <w:top w:val="nil"/>
              <w:left w:val="nil"/>
              <w:bottom w:val="single" w:sz="4" w:space="0" w:color="000000"/>
              <w:right w:val="single" w:sz="4" w:space="0" w:color="000000"/>
            </w:tcBorders>
            <w:shd w:val="clear" w:color="auto" w:fill="auto"/>
            <w:noWrap/>
            <w:vAlign w:val="bottom"/>
            <w:hideMark/>
          </w:tcPr>
          <w:p w14:paraId="2913264C" w14:textId="42DA49C6"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615.1</w:t>
            </w:r>
          </w:p>
        </w:tc>
        <w:tc>
          <w:tcPr>
            <w:tcW w:w="1458" w:type="dxa"/>
            <w:tcBorders>
              <w:top w:val="nil"/>
              <w:left w:val="nil"/>
              <w:bottom w:val="single" w:sz="4" w:space="0" w:color="000000"/>
              <w:right w:val="single" w:sz="4" w:space="0" w:color="000000"/>
            </w:tcBorders>
            <w:shd w:val="clear" w:color="auto" w:fill="auto"/>
            <w:noWrap/>
            <w:vAlign w:val="bottom"/>
            <w:hideMark/>
          </w:tcPr>
          <w:p w14:paraId="5EB0EBC1" w14:textId="2435CF89"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14.8</w:t>
            </w:r>
          </w:p>
        </w:tc>
        <w:tc>
          <w:tcPr>
            <w:tcW w:w="1458" w:type="dxa"/>
            <w:tcBorders>
              <w:top w:val="nil"/>
              <w:left w:val="nil"/>
              <w:bottom w:val="single" w:sz="4" w:space="0" w:color="000000"/>
              <w:right w:val="single" w:sz="4" w:space="0" w:color="000000"/>
            </w:tcBorders>
          </w:tcPr>
          <w:p w14:paraId="44512327" w14:textId="0D338196" w:rsidR="005C783E" w:rsidRPr="0057119D" w:rsidRDefault="005C783E" w:rsidP="002369F8">
            <w:pPr>
              <w:spacing w:after="0" w:line="240" w:lineRule="auto"/>
              <w:ind w:firstLine="576"/>
              <w:jc w:val="right"/>
              <w:rPr>
                <w:rFonts w:eastAsia="Times New Roman" w:cs="Times New Roman"/>
                <w:sz w:val="24"/>
                <w:szCs w:val="24"/>
              </w:rPr>
            </w:pPr>
            <w:r>
              <w:rPr>
                <w:rFonts w:eastAsia="Times New Roman" w:cs="Times New Roman"/>
                <w:sz w:val="24"/>
                <w:szCs w:val="24"/>
              </w:rPr>
              <w:t>4.68</w:t>
            </w:r>
          </w:p>
        </w:tc>
      </w:tr>
      <w:tr w:rsidR="005C783E" w:rsidRPr="0057119D" w14:paraId="40C599A3" w14:textId="77777777" w:rsidTr="002369F8">
        <w:trPr>
          <w:trHeight w:val="250"/>
        </w:trPr>
        <w:tc>
          <w:tcPr>
            <w:tcW w:w="1349" w:type="dxa"/>
            <w:tcBorders>
              <w:top w:val="nil"/>
              <w:left w:val="single" w:sz="4" w:space="0" w:color="000000"/>
              <w:bottom w:val="single" w:sz="4" w:space="0" w:color="000000"/>
              <w:right w:val="single" w:sz="4" w:space="0" w:color="000000"/>
            </w:tcBorders>
            <w:shd w:val="clear" w:color="auto" w:fill="auto"/>
            <w:noWrap/>
            <w:vAlign w:val="bottom"/>
            <w:hideMark/>
          </w:tcPr>
          <w:p w14:paraId="6144C713" w14:textId="1EDE65C0"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1926</w:t>
            </w:r>
          </w:p>
        </w:tc>
        <w:tc>
          <w:tcPr>
            <w:tcW w:w="1687" w:type="dxa"/>
            <w:tcBorders>
              <w:top w:val="nil"/>
              <w:left w:val="nil"/>
              <w:bottom w:val="single" w:sz="4" w:space="0" w:color="000000"/>
              <w:right w:val="single" w:sz="4" w:space="0" w:color="000000"/>
            </w:tcBorders>
            <w:shd w:val="clear" w:color="auto" w:fill="auto"/>
            <w:noWrap/>
            <w:vAlign w:val="bottom"/>
            <w:hideMark/>
          </w:tcPr>
          <w:p w14:paraId="26960F94" w14:textId="033CD922"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651</w:t>
            </w:r>
            <w:r>
              <w:rPr>
                <w:rFonts w:eastAsia="Times New Roman" w:cs="Times New Roman"/>
                <w:sz w:val="24"/>
                <w:szCs w:val="24"/>
              </w:rPr>
              <w:t>.0</w:t>
            </w:r>
          </w:p>
        </w:tc>
        <w:tc>
          <w:tcPr>
            <w:tcW w:w="1541" w:type="dxa"/>
            <w:tcBorders>
              <w:top w:val="nil"/>
              <w:left w:val="nil"/>
              <w:bottom w:val="single" w:sz="4" w:space="0" w:color="000000"/>
              <w:right w:val="single" w:sz="4" w:space="0" w:color="000000"/>
            </w:tcBorders>
            <w:shd w:val="clear" w:color="auto" w:fill="auto"/>
            <w:noWrap/>
            <w:vAlign w:val="bottom"/>
            <w:hideMark/>
          </w:tcPr>
          <w:p w14:paraId="65E054EA" w14:textId="000FF385"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15.0</w:t>
            </w:r>
          </w:p>
        </w:tc>
        <w:tc>
          <w:tcPr>
            <w:tcW w:w="1687" w:type="dxa"/>
            <w:tcBorders>
              <w:top w:val="nil"/>
              <w:left w:val="nil"/>
              <w:bottom w:val="single" w:sz="4" w:space="0" w:color="000000"/>
              <w:right w:val="single" w:sz="4" w:space="0" w:color="000000"/>
            </w:tcBorders>
            <w:shd w:val="clear" w:color="auto" w:fill="auto"/>
            <w:noWrap/>
            <w:vAlign w:val="bottom"/>
            <w:hideMark/>
          </w:tcPr>
          <w:p w14:paraId="6A267F07" w14:textId="0B9D8F99"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655.0</w:t>
            </w:r>
          </w:p>
        </w:tc>
        <w:tc>
          <w:tcPr>
            <w:tcW w:w="1458" w:type="dxa"/>
            <w:tcBorders>
              <w:top w:val="nil"/>
              <w:left w:val="nil"/>
              <w:bottom w:val="single" w:sz="4" w:space="0" w:color="000000"/>
              <w:right w:val="single" w:sz="4" w:space="0" w:color="000000"/>
            </w:tcBorders>
            <w:shd w:val="clear" w:color="auto" w:fill="auto"/>
            <w:noWrap/>
            <w:vAlign w:val="bottom"/>
            <w:hideMark/>
          </w:tcPr>
          <w:p w14:paraId="61E43091" w14:textId="4CD716F8"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14.8</w:t>
            </w:r>
          </w:p>
        </w:tc>
        <w:tc>
          <w:tcPr>
            <w:tcW w:w="1458" w:type="dxa"/>
            <w:tcBorders>
              <w:top w:val="nil"/>
              <w:left w:val="nil"/>
              <w:bottom w:val="single" w:sz="4" w:space="0" w:color="000000"/>
              <w:right w:val="single" w:sz="4" w:space="0" w:color="000000"/>
            </w:tcBorders>
          </w:tcPr>
          <w:p w14:paraId="0A2822A4" w14:textId="77928FAC" w:rsidR="005C783E" w:rsidRPr="0057119D" w:rsidRDefault="005C783E" w:rsidP="002369F8">
            <w:pPr>
              <w:spacing w:after="0" w:line="240" w:lineRule="auto"/>
              <w:ind w:firstLine="576"/>
              <w:jc w:val="right"/>
              <w:rPr>
                <w:rFonts w:eastAsia="Times New Roman" w:cs="Times New Roman"/>
                <w:sz w:val="24"/>
                <w:szCs w:val="24"/>
              </w:rPr>
            </w:pPr>
            <w:r>
              <w:rPr>
                <w:rFonts w:eastAsia="Times New Roman" w:cs="Times New Roman"/>
                <w:sz w:val="24"/>
                <w:szCs w:val="24"/>
              </w:rPr>
              <w:t>2.90</w:t>
            </w:r>
          </w:p>
        </w:tc>
      </w:tr>
      <w:tr w:rsidR="005C783E" w:rsidRPr="0057119D" w14:paraId="720E64C6" w14:textId="77777777" w:rsidTr="002369F8">
        <w:trPr>
          <w:trHeight w:val="250"/>
        </w:trPr>
        <w:tc>
          <w:tcPr>
            <w:tcW w:w="1349" w:type="dxa"/>
            <w:tcBorders>
              <w:top w:val="nil"/>
              <w:left w:val="single" w:sz="4" w:space="0" w:color="000000"/>
              <w:bottom w:val="single" w:sz="4" w:space="0" w:color="000000"/>
              <w:right w:val="single" w:sz="4" w:space="0" w:color="000000"/>
            </w:tcBorders>
            <w:shd w:val="clear" w:color="auto" w:fill="auto"/>
            <w:noWrap/>
            <w:vAlign w:val="bottom"/>
            <w:hideMark/>
          </w:tcPr>
          <w:p w14:paraId="77A3D48F" w14:textId="6330D54A"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1927</w:t>
            </w:r>
          </w:p>
        </w:tc>
        <w:tc>
          <w:tcPr>
            <w:tcW w:w="1687" w:type="dxa"/>
            <w:tcBorders>
              <w:top w:val="nil"/>
              <w:left w:val="nil"/>
              <w:bottom w:val="single" w:sz="4" w:space="0" w:color="000000"/>
              <w:right w:val="single" w:sz="4" w:space="0" w:color="000000"/>
            </w:tcBorders>
            <w:shd w:val="clear" w:color="auto" w:fill="auto"/>
            <w:noWrap/>
            <w:vAlign w:val="bottom"/>
            <w:hideMark/>
          </w:tcPr>
          <w:p w14:paraId="631E63B0" w14:textId="4C6D294E"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654.6</w:t>
            </w:r>
          </w:p>
        </w:tc>
        <w:tc>
          <w:tcPr>
            <w:tcW w:w="1541" w:type="dxa"/>
            <w:tcBorders>
              <w:top w:val="nil"/>
              <w:left w:val="nil"/>
              <w:bottom w:val="single" w:sz="4" w:space="0" w:color="000000"/>
              <w:right w:val="single" w:sz="4" w:space="0" w:color="000000"/>
            </w:tcBorders>
            <w:shd w:val="clear" w:color="auto" w:fill="auto"/>
            <w:noWrap/>
            <w:vAlign w:val="bottom"/>
            <w:hideMark/>
          </w:tcPr>
          <w:p w14:paraId="1FE34CF4" w14:textId="0FF194C8"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14.7</w:t>
            </w:r>
          </w:p>
        </w:tc>
        <w:tc>
          <w:tcPr>
            <w:tcW w:w="1687" w:type="dxa"/>
            <w:tcBorders>
              <w:top w:val="nil"/>
              <w:left w:val="nil"/>
              <w:bottom w:val="single" w:sz="4" w:space="0" w:color="000000"/>
              <w:right w:val="single" w:sz="4" w:space="0" w:color="000000"/>
            </w:tcBorders>
            <w:shd w:val="clear" w:color="auto" w:fill="auto"/>
            <w:noWrap/>
            <w:vAlign w:val="bottom"/>
            <w:hideMark/>
          </w:tcPr>
          <w:p w14:paraId="6E0BE356" w14:textId="1FAE3FC8"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661.4</w:t>
            </w:r>
          </w:p>
        </w:tc>
        <w:tc>
          <w:tcPr>
            <w:tcW w:w="1458" w:type="dxa"/>
            <w:tcBorders>
              <w:top w:val="nil"/>
              <w:left w:val="nil"/>
              <w:bottom w:val="single" w:sz="4" w:space="0" w:color="000000"/>
              <w:right w:val="single" w:sz="4" w:space="0" w:color="000000"/>
            </w:tcBorders>
            <w:shd w:val="clear" w:color="auto" w:fill="auto"/>
            <w:noWrap/>
            <w:vAlign w:val="bottom"/>
            <w:hideMark/>
          </w:tcPr>
          <w:p w14:paraId="591D4B02" w14:textId="0A3B408D"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14.5</w:t>
            </w:r>
          </w:p>
        </w:tc>
        <w:tc>
          <w:tcPr>
            <w:tcW w:w="1458" w:type="dxa"/>
            <w:tcBorders>
              <w:top w:val="nil"/>
              <w:left w:val="nil"/>
              <w:bottom w:val="single" w:sz="4" w:space="0" w:color="000000"/>
              <w:right w:val="single" w:sz="4" w:space="0" w:color="000000"/>
            </w:tcBorders>
          </w:tcPr>
          <w:p w14:paraId="53D373CD" w14:textId="1A2C8ED2" w:rsidR="005C783E" w:rsidRPr="0057119D" w:rsidRDefault="005C783E" w:rsidP="002369F8">
            <w:pPr>
              <w:spacing w:after="0" w:line="240" w:lineRule="auto"/>
              <w:ind w:firstLine="576"/>
              <w:jc w:val="right"/>
              <w:rPr>
                <w:rFonts w:eastAsia="Times New Roman" w:cs="Times New Roman"/>
                <w:sz w:val="24"/>
                <w:szCs w:val="24"/>
              </w:rPr>
            </w:pPr>
            <w:r>
              <w:rPr>
                <w:rFonts w:eastAsia="Times New Roman" w:cs="Times New Roman"/>
                <w:sz w:val="24"/>
                <w:szCs w:val="24"/>
              </w:rPr>
              <w:t>3.90</w:t>
            </w:r>
          </w:p>
        </w:tc>
      </w:tr>
      <w:tr w:rsidR="005C783E" w:rsidRPr="0057119D" w14:paraId="3F71CD1C" w14:textId="77777777" w:rsidTr="002369F8">
        <w:trPr>
          <w:trHeight w:val="250"/>
        </w:trPr>
        <w:tc>
          <w:tcPr>
            <w:tcW w:w="1349" w:type="dxa"/>
            <w:tcBorders>
              <w:top w:val="nil"/>
              <w:left w:val="single" w:sz="4" w:space="0" w:color="000000"/>
              <w:bottom w:val="single" w:sz="4" w:space="0" w:color="000000"/>
              <w:right w:val="single" w:sz="4" w:space="0" w:color="000000"/>
            </w:tcBorders>
            <w:shd w:val="clear" w:color="auto" w:fill="auto"/>
            <w:noWrap/>
            <w:vAlign w:val="bottom"/>
            <w:hideMark/>
          </w:tcPr>
          <w:p w14:paraId="2D3CEFF3" w14:textId="0E6482E9"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1928</w:t>
            </w:r>
          </w:p>
        </w:tc>
        <w:tc>
          <w:tcPr>
            <w:tcW w:w="1687" w:type="dxa"/>
            <w:tcBorders>
              <w:top w:val="nil"/>
              <w:left w:val="nil"/>
              <w:bottom w:val="single" w:sz="4" w:space="0" w:color="000000"/>
              <w:right w:val="single" w:sz="4" w:space="0" w:color="000000"/>
            </w:tcBorders>
            <w:shd w:val="clear" w:color="auto" w:fill="auto"/>
            <w:noWrap/>
            <w:vAlign w:val="bottom"/>
            <w:hideMark/>
          </w:tcPr>
          <w:p w14:paraId="15CE0609" w14:textId="3FC76F2A"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666.7</w:t>
            </w:r>
          </w:p>
        </w:tc>
        <w:tc>
          <w:tcPr>
            <w:tcW w:w="1541" w:type="dxa"/>
            <w:tcBorders>
              <w:top w:val="nil"/>
              <w:left w:val="nil"/>
              <w:bottom w:val="single" w:sz="4" w:space="0" w:color="000000"/>
              <w:right w:val="single" w:sz="4" w:space="0" w:color="000000"/>
            </w:tcBorders>
            <w:shd w:val="clear" w:color="auto" w:fill="auto"/>
            <w:noWrap/>
            <w:vAlign w:val="bottom"/>
            <w:hideMark/>
          </w:tcPr>
          <w:p w14:paraId="1BCA490F" w14:textId="30E2589B"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14.6</w:t>
            </w:r>
          </w:p>
        </w:tc>
        <w:tc>
          <w:tcPr>
            <w:tcW w:w="1687" w:type="dxa"/>
            <w:tcBorders>
              <w:top w:val="nil"/>
              <w:left w:val="nil"/>
              <w:bottom w:val="single" w:sz="4" w:space="0" w:color="000000"/>
              <w:right w:val="single" w:sz="4" w:space="0" w:color="000000"/>
            </w:tcBorders>
            <w:shd w:val="clear" w:color="auto" w:fill="auto"/>
            <w:noWrap/>
            <w:vAlign w:val="bottom"/>
            <w:hideMark/>
          </w:tcPr>
          <w:p w14:paraId="3A618A5C" w14:textId="1296FF9E"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669.3</w:t>
            </w:r>
          </w:p>
        </w:tc>
        <w:tc>
          <w:tcPr>
            <w:tcW w:w="1458" w:type="dxa"/>
            <w:tcBorders>
              <w:top w:val="nil"/>
              <w:left w:val="nil"/>
              <w:bottom w:val="single" w:sz="4" w:space="0" w:color="000000"/>
              <w:right w:val="single" w:sz="4" w:space="0" w:color="000000"/>
            </w:tcBorders>
            <w:shd w:val="clear" w:color="auto" w:fill="auto"/>
            <w:noWrap/>
            <w:vAlign w:val="bottom"/>
            <w:hideMark/>
          </w:tcPr>
          <w:p w14:paraId="4B05B0F4" w14:textId="55BEA726"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14.6</w:t>
            </w:r>
          </w:p>
        </w:tc>
        <w:tc>
          <w:tcPr>
            <w:tcW w:w="1458" w:type="dxa"/>
            <w:tcBorders>
              <w:top w:val="nil"/>
              <w:left w:val="nil"/>
              <w:bottom w:val="single" w:sz="4" w:space="0" w:color="000000"/>
              <w:right w:val="single" w:sz="4" w:space="0" w:color="000000"/>
            </w:tcBorders>
          </w:tcPr>
          <w:p w14:paraId="3462700F" w14:textId="5FF2557F" w:rsidR="005C783E" w:rsidRPr="0057119D" w:rsidRDefault="005C783E" w:rsidP="002369F8">
            <w:pPr>
              <w:spacing w:after="0" w:line="240" w:lineRule="auto"/>
              <w:ind w:firstLine="576"/>
              <w:jc w:val="right"/>
              <w:rPr>
                <w:rFonts w:eastAsia="Times New Roman" w:cs="Times New Roman"/>
                <w:sz w:val="24"/>
                <w:szCs w:val="24"/>
              </w:rPr>
            </w:pPr>
            <w:r>
              <w:rPr>
                <w:rFonts w:eastAsia="Times New Roman" w:cs="Times New Roman"/>
                <w:sz w:val="24"/>
                <w:szCs w:val="24"/>
              </w:rPr>
              <w:t>4.74</w:t>
            </w:r>
          </w:p>
        </w:tc>
      </w:tr>
      <w:tr w:rsidR="005C783E" w:rsidRPr="0057119D" w14:paraId="203AC5C5" w14:textId="77777777" w:rsidTr="002369F8">
        <w:trPr>
          <w:trHeight w:val="250"/>
        </w:trPr>
        <w:tc>
          <w:tcPr>
            <w:tcW w:w="1349" w:type="dxa"/>
            <w:tcBorders>
              <w:top w:val="nil"/>
              <w:left w:val="single" w:sz="4" w:space="0" w:color="000000"/>
              <w:bottom w:val="nil"/>
              <w:right w:val="single" w:sz="4" w:space="0" w:color="000000"/>
            </w:tcBorders>
            <w:shd w:val="clear" w:color="auto" w:fill="auto"/>
            <w:noWrap/>
            <w:vAlign w:val="bottom"/>
            <w:hideMark/>
          </w:tcPr>
          <w:p w14:paraId="0BD686F6" w14:textId="2766C3D7"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1929</w:t>
            </w:r>
          </w:p>
        </w:tc>
        <w:tc>
          <w:tcPr>
            <w:tcW w:w="1687" w:type="dxa"/>
            <w:tcBorders>
              <w:top w:val="nil"/>
              <w:left w:val="nil"/>
              <w:bottom w:val="nil"/>
              <w:right w:val="single" w:sz="4" w:space="0" w:color="000000"/>
            </w:tcBorders>
            <w:shd w:val="clear" w:color="auto" w:fill="auto"/>
            <w:noWrap/>
            <w:vAlign w:val="bottom"/>
            <w:hideMark/>
          </w:tcPr>
          <w:p w14:paraId="40045266" w14:textId="21AFAD6A"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709.6</w:t>
            </w:r>
          </w:p>
        </w:tc>
        <w:tc>
          <w:tcPr>
            <w:tcW w:w="1541" w:type="dxa"/>
            <w:tcBorders>
              <w:top w:val="nil"/>
              <w:left w:val="nil"/>
              <w:bottom w:val="nil"/>
              <w:right w:val="single" w:sz="4" w:space="0" w:color="000000"/>
            </w:tcBorders>
            <w:shd w:val="clear" w:color="auto" w:fill="auto"/>
            <w:noWrap/>
            <w:vAlign w:val="bottom"/>
            <w:hideMark/>
          </w:tcPr>
          <w:p w14:paraId="00D9F464" w14:textId="4C0614CE"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14.6</w:t>
            </w:r>
          </w:p>
        </w:tc>
        <w:tc>
          <w:tcPr>
            <w:tcW w:w="1687" w:type="dxa"/>
            <w:tcBorders>
              <w:top w:val="nil"/>
              <w:left w:val="nil"/>
              <w:bottom w:val="nil"/>
              <w:right w:val="single" w:sz="4" w:space="0" w:color="000000"/>
            </w:tcBorders>
            <w:shd w:val="clear" w:color="auto" w:fill="auto"/>
            <w:noWrap/>
            <w:vAlign w:val="bottom"/>
            <w:hideMark/>
          </w:tcPr>
          <w:p w14:paraId="448151EE" w14:textId="523AD928"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709.6</w:t>
            </w:r>
          </w:p>
        </w:tc>
        <w:tc>
          <w:tcPr>
            <w:tcW w:w="1458" w:type="dxa"/>
            <w:tcBorders>
              <w:top w:val="nil"/>
              <w:left w:val="nil"/>
              <w:bottom w:val="nil"/>
              <w:right w:val="single" w:sz="4" w:space="0" w:color="000000"/>
            </w:tcBorders>
            <w:shd w:val="clear" w:color="auto" w:fill="auto"/>
            <w:noWrap/>
            <w:vAlign w:val="bottom"/>
            <w:hideMark/>
          </w:tcPr>
          <w:p w14:paraId="3030FABE" w14:textId="184FC123" w:rsidR="005C783E" w:rsidRPr="0057119D" w:rsidRDefault="005C783E" w:rsidP="002369F8">
            <w:pPr>
              <w:spacing w:after="0" w:line="240" w:lineRule="auto"/>
              <w:ind w:firstLine="576"/>
              <w:jc w:val="right"/>
              <w:rPr>
                <w:rFonts w:eastAsia="Times New Roman" w:cs="Times New Roman"/>
                <w:sz w:val="24"/>
                <w:szCs w:val="24"/>
              </w:rPr>
            </w:pPr>
            <w:r w:rsidRPr="0057119D">
              <w:rPr>
                <w:rFonts w:eastAsia="Times New Roman" w:cs="Times New Roman"/>
                <w:sz w:val="24"/>
                <w:szCs w:val="24"/>
              </w:rPr>
              <w:t>14.6</w:t>
            </w:r>
          </w:p>
        </w:tc>
        <w:tc>
          <w:tcPr>
            <w:tcW w:w="1458" w:type="dxa"/>
            <w:tcBorders>
              <w:top w:val="nil"/>
              <w:left w:val="nil"/>
              <w:bottom w:val="nil"/>
              <w:right w:val="single" w:sz="4" w:space="0" w:color="000000"/>
            </w:tcBorders>
          </w:tcPr>
          <w:p w14:paraId="621023D0" w14:textId="06C5683F" w:rsidR="005C783E" w:rsidRPr="0057119D" w:rsidRDefault="005C783E" w:rsidP="002369F8">
            <w:pPr>
              <w:spacing w:after="0" w:line="240" w:lineRule="auto"/>
              <w:ind w:firstLine="576"/>
              <w:jc w:val="right"/>
              <w:rPr>
                <w:rFonts w:eastAsia="Times New Roman" w:cs="Times New Roman"/>
                <w:sz w:val="24"/>
                <w:szCs w:val="24"/>
              </w:rPr>
            </w:pPr>
            <w:r>
              <w:rPr>
                <w:rFonts w:eastAsia="Times New Roman" w:cs="Times New Roman"/>
                <w:sz w:val="24"/>
                <w:szCs w:val="24"/>
              </w:rPr>
              <w:t>2.89</w:t>
            </w:r>
          </w:p>
        </w:tc>
      </w:tr>
      <w:tr w:rsidR="005C783E" w:rsidRPr="0057119D" w14:paraId="7B592A71" w14:textId="77777777" w:rsidTr="002369F8">
        <w:trPr>
          <w:trHeight w:val="250"/>
        </w:trPr>
        <w:tc>
          <w:tcPr>
            <w:tcW w:w="1349" w:type="dxa"/>
            <w:tcBorders>
              <w:top w:val="nil"/>
              <w:left w:val="single" w:sz="4" w:space="0" w:color="000000"/>
              <w:bottom w:val="single" w:sz="4" w:space="0" w:color="000000"/>
              <w:right w:val="single" w:sz="4" w:space="0" w:color="000000"/>
            </w:tcBorders>
            <w:shd w:val="clear" w:color="auto" w:fill="auto"/>
            <w:noWrap/>
            <w:vAlign w:val="bottom"/>
          </w:tcPr>
          <w:p w14:paraId="09C1DCED" w14:textId="068B88F3" w:rsidR="005C783E" w:rsidRPr="0057119D" w:rsidRDefault="005C783E" w:rsidP="002369F8">
            <w:pPr>
              <w:spacing w:after="0" w:line="240" w:lineRule="auto"/>
              <w:ind w:firstLine="576"/>
              <w:rPr>
                <w:rFonts w:eastAsia="Times New Roman" w:cs="Times New Roman"/>
                <w:sz w:val="24"/>
                <w:szCs w:val="24"/>
              </w:rPr>
            </w:pPr>
          </w:p>
        </w:tc>
        <w:tc>
          <w:tcPr>
            <w:tcW w:w="1687" w:type="dxa"/>
            <w:tcBorders>
              <w:top w:val="nil"/>
              <w:left w:val="nil"/>
              <w:bottom w:val="single" w:sz="4" w:space="0" w:color="000000"/>
              <w:right w:val="single" w:sz="4" w:space="0" w:color="000000"/>
            </w:tcBorders>
            <w:shd w:val="clear" w:color="auto" w:fill="auto"/>
            <w:noWrap/>
            <w:vAlign w:val="bottom"/>
          </w:tcPr>
          <w:p w14:paraId="6D453913" w14:textId="276341E4" w:rsidR="005C783E" w:rsidRPr="0057119D" w:rsidRDefault="005C783E" w:rsidP="002369F8">
            <w:pPr>
              <w:spacing w:after="0" w:line="240" w:lineRule="auto"/>
              <w:ind w:firstLine="576"/>
              <w:jc w:val="right"/>
              <w:rPr>
                <w:rFonts w:eastAsia="Times New Roman" w:cs="Times New Roman"/>
                <w:sz w:val="24"/>
                <w:szCs w:val="24"/>
              </w:rPr>
            </w:pPr>
          </w:p>
        </w:tc>
        <w:tc>
          <w:tcPr>
            <w:tcW w:w="1541" w:type="dxa"/>
            <w:tcBorders>
              <w:top w:val="nil"/>
              <w:left w:val="nil"/>
              <w:bottom w:val="single" w:sz="4" w:space="0" w:color="000000"/>
              <w:right w:val="single" w:sz="4" w:space="0" w:color="000000"/>
            </w:tcBorders>
            <w:shd w:val="clear" w:color="auto" w:fill="auto"/>
            <w:noWrap/>
            <w:vAlign w:val="bottom"/>
          </w:tcPr>
          <w:p w14:paraId="13AB8AF6" w14:textId="2DA1B8C6" w:rsidR="005C783E" w:rsidRPr="0057119D" w:rsidRDefault="005C783E" w:rsidP="002369F8">
            <w:pPr>
              <w:spacing w:after="0" w:line="240" w:lineRule="auto"/>
              <w:ind w:firstLine="576"/>
              <w:jc w:val="right"/>
              <w:rPr>
                <w:rFonts w:eastAsia="Times New Roman" w:cs="Times New Roman"/>
                <w:sz w:val="24"/>
                <w:szCs w:val="24"/>
              </w:rPr>
            </w:pPr>
          </w:p>
        </w:tc>
        <w:tc>
          <w:tcPr>
            <w:tcW w:w="1687" w:type="dxa"/>
            <w:tcBorders>
              <w:top w:val="nil"/>
              <w:left w:val="nil"/>
              <w:bottom w:val="single" w:sz="4" w:space="0" w:color="000000"/>
              <w:right w:val="single" w:sz="4" w:space="0" w:color="000000"/>
            </w:tcBorders>
            <w:shd w:val="clear" w:color="auto" w:fill="auto"/>
            <w:noWrap/>
            <w:vAlign w:val="bottom"/>
          </w:tcPr>
          <w:p w14:paraId="36FEB8FD" w14:textId="3F07D0C7" w:rsidR="005C783E" w:rsidRPr="0057119D" w:rsidRDefault="005C783E" w:rsidP="002369F8">
            <w:pPr>
              <w:spacing w:after="0" w:line="240" w:lineRule="auto"/>
              <w:ind w:firstLine="576"/>
              <w:jc w:val="right"/>
              <w:rPr>
                <w:rFonts w:eastAsia="Times New Roman" w:cs="Times New Roman"/>
                <w:sz w:val="24"/>
                <w:szCs w:val="24"/>
              </w:rPr>
            </w:pPr>
          </w:p>
        </w:tc>
        <w:tc>
          <w:tcPr>
            <w:tcW w:w="1458" w:type="dxa"/>
            <w:tcBorders>
              <w:top w:val="nil"/>
              <w:left w:val="nil"/>
              <w:bottom w:val="single" w:sz="4" w:space="0" w:color="000000"/>
              <w:right w:val="single" w:sz="4" w:space="0" w:color="000000"/>
            </w:tcBorders>
            <w:shd w:val="clear" w:color="auto" w:fill="auto"/>
            <w:noWrap/>
            <w:vAlign w:val="bottom"/>
          </w:tcPr>
          <w:p w14:paraId="650B8F89" w14:textId="3001FD96" w:rsidR="005C783E" w:rsidRPr="0057119D" w:rsidRDefault="005C783E" w:rsidP="002369F8">
            <w:pPr>
              <w:spacing w:after="0" w:line="240" w:lineRule="auto"/>
              <w:ind w:firstLine="576"/>
              <w:jc w:val="right"/>
              <w:rPr>
                <w:rFonts w:eastAsia="Times New Roman" w:cs="Times New Roman"/>
                <w:sz w:val="24"/>
                <w:szCs w:val="24"/>
              </w:rPr>
            </w:pPr>
          </w:p>
        </w:tc>
        <w:tc>
          <w:tcPr>
            <w:tcW w:w="1458" w:type="dxa"/>
            <w:tcBorders>
              <w:top w:val="nil"/>
              <w:left w:val="nil"/>
              <w:bottom w:val="single" w:sz="4" w:space="0" w:color="000000"/>
              <w:right w:val="single" w:sz="4" w:space="0" w:color="000000"/>
            </w:tcBorders>
          </w:tcPr>
          <w:p w14:paraId="078E5B81" w14:textId="7FBF9D48" w:rsidR="005C783E" w:rsidRDefault="005C783E" w:rsidP="002369F8">
            <w:pPr>
              <w:spacing w:after="0" w:line="240" w:lineRule="auto"/>
              <w:ind w:firstLine="576"/>
              <w:jc w:val="right"/>
              <w:rPr>
                <w:rFonts w:eastAsia="Times New Roman" w:cs="Times New Roman"/>
                <w:sz w:val="24"/>
                <w:szCs w:val="24"/>
              </w:rPr>
            </w:pPr>
          </w:p>
        </w:tc>
      </w:tr>
    </w:tbl>
    <w:p w14:paraId="26BE354D" w14:textId="49DBABC2" w:rsidR="005C783E" w:rsidRDefault="005C783E" w:rsidP="005C783E">
      <w:pPr>
        <w:spacing w:line="240" w:lineRule="auto"/>
        <w:rPr>
          <w:rFonts w:cs="Times New Roman"/>
          <w:sz w:val="24"/>
          <w:szCs w:val="24"/>
        </w:rPr>
      </w:pPr>
      <w:r w:rsidRPr="00E05788">
        <w:rPr>
          <w:rFonts w:cs="Times New Roman"/>
          <w:sz w:val="24"/>
          <w:szCs w:val="24"/>
        </w:rPr>
        <w:t xml:space="preserve">Source:  Carter et al, </w:t>
      </w:r>
      <w:r w:rsidRPr="00E05788">
        <w:rPr>
          <w:rFonts w:cs="Times New Roman"/>
          <w:sz w:val="24"/>
          <w:szCs w:val="24"/>
          <w:u w:val="single"/>
        </w:rPr>
        <w:t>Historical Statistics of the United States</w:t>
      </w:r>
      <w:r w:rsidRPr="00E05788">
        <w:rPr>
          <w:rFonts w:cs="Times New Roman"/>
          <w:sz w:val="24"/>
          <w:szCs w:val="24"/>
        </w:rPr>
        <w:t xml:space="preserve"> (2005): Series Ca213</w:t>
      </w:r>
      <w:r>
        <w:rPr>
          <w:rFonts w:cs="Times New Roman"/>
          <w:sz w:val="24"/>
          <w:szCs w:val="24"/>
        </w:rPr>
        <w:t xml:space="preserve">, Ca215, Ca216, Ca 218, </w:t>
      </w:r>
      <w:r w:rsidRPr="00E05788">
        <w:rPr>
          <w:rFonts w:cs="Times New Roman"/>
          <w:sz w:val="24"/>
          <w:szCs w:val="24"/>
        </w:rPr>
        <w:t xml:space="preserve"> Ba47</w:t>
      </w:r>
      <w:r>
        <w:rPr>
          <w:rFonts w:cs="Times New Roman"/>
          <w:sz w:val="24"/>
          <w:szCs w:val="24"/>
        </w:rPr>
        <w:t>5.</w:t>
      </w:r>
    </w:p>
    <w:p w14:paraId="72091D22" w14:textId="77777777" w:rsidR="00EC33EF" w:rsidRDefault="00EC33EF" w:rsidP="00EC33EF">
      <w:pPr>
        <w:spacing w:line="480" w:lineRule="auto"/>
        <w:ind w:firstLine="576"/>
        <w:rPr>
          <w:rFonts w:cs="Times New Roman"/>
          <w:b/>
          <w:sz w:val="24"/>
          <w:szCs w:val="24"/>
        </w:rPr>
      </w:pPr>
      <w:r>
        <w:rPr>
          <w:rFonts w:ascii="Times New Roman" w:hAnsi="Times New Roman" w:cs="Times New Roman"/>
          <w:sz w:val="24"/>
          <w:szCs w:val="24"/>
        </w:rPr>
        <w:t xml:space="preserve">From the standpoint of this paper, the important takeaway is this: controversies surrounding estimates of pre-1929 GNP mostly involve the years before 1909; there is more </w:t>
      </w:r>
      <w:r>
        <w:rPr>
          <w:rFonts w:ascii="Times New Roman" w:hAnsi="Times New Roman" w:cs="Times New Roman"/>
          <w:sz w:val="24"/>
          <w:szCs w:val="24"/>
        </w:rPr>
        <w:lastRenderedPageBreak/>
        <w:t xml:space="preserve">consensus about 1919-29, the period with which we are concerned.  </w:t>
      </w:r>
      <w:r w:rsidRPr="009F3FFE">
        <w:rPr>
          <w:rFonts w:ascii="Times New Roman" w:hAnsi="Times New Roman" w:cs="Times New Roman"/>
          <w:sz w:val="24"/>
          <w:szCs w:val="24"/>
        </w:rPr>
        <w:t xml:space="preserve">Contemporaneously with Romer, Nathan Balke and Robert Gordon (1989) </w:t>
      </w:r>
      <w:r>
        <w:rPr>
          <w:rFonts w:ascii="Times New Roman" w:hAnsi="Times New Roman" w:cs="Times New Roman"/>
          <w:sz w:val="24"/>
          <w:szCs w:val="24"/>
        </w:rPr>
        <w:t xml:space="preserve">also </w:t>
      </w:r>
      <w:r w:rsidRPr="009F3FFE">
        <w:rPr>
          <w:rFonts w:ascii="Times New Roman" w:hAnsi="Times New Roman" w:cs="Times New Roman"/>
          <w:sz w:val="24"/>
          <w:szCs w:val="24"/>
        </w:rPr>
        <w:t xml:space="preserve">published revised annual series </w:t>
      </w:r>
      <w:r>
        <w:rPr>
          <w:rFonts w:ascii="Times New Roman" w:hAnsi="Times New Roman" w:cs="Times New Roman"/>
          <w:sz w:val="24"/>
          <w:szCs w:val="24"/>
        </w:rPr>
        <w:t xml:space="preserve">for GNP prior to 1929.   In backcasting GNP, they </w:t>
      </w:r>
      <w:r w:rsidRPr="009F3FFE">
        <w:rPr>
          <w:rFonts w:ascii="Times New Roman" w:hAnsi="Times New Roman" w:cs="Times New Roman"/>
          <w:sz w:val="24"/>
          <w:szCs w:val="24"/>
        </w:rPr>
        <w:t>brought to be</w:t>
      </w:r>
      <w:r>
        <w:rPr>
          <w:rFonts w:ascii="Times New Roman" w:hAnsi="Times New Roman" w:cs="Times New Roman"/>
          <w:sz w:val="24"/>
          <w:szCs w:val="24"/>
        </w:rPr>
        <w:t>ar not just the Shaw commodity output series but also additional information on non-commodity output</w:t>
      </w:r>
      <w:r w:rsidRPr="009F3FFE">
        <w:rPr>
          <w:rFonts w:ascii="Times New Roman" w:hAnsi="Times New Roman" w:cs="Times New Roman"/>
          <w:sz w:val="24"/>
          <w:szCs w:val="24"/>
        </w:rPr>
        <w:t>.</w:t>
      </w:r>
      <w:r>
        <w:rPr>
          <w:rFonts w:ascii="Times New Roman" w:hAnsi="Times New Roman" w:cs="Times New Roman"/>
          <w:sz w:val="24"/>
          <w:szCs w:val="24"/>
        </w:rPr>
        <w:t xml:space="preserve">  Their</w:t>
      </w:r>
      <w:r w:rsidRPr="009F3FFE">
        <w:rPr>
          <w:rFonts w:ascii="Times New Roman" w:hAnsi="Times New Roman" w:cs="Times New Roman"/>
          <w:sz w:val="24"/>
          <w:szCs w:val="24"/>
        </w:rPr>
        <w:t xml:space="preserve"> major differences with Kuznets, and with Romer, </w:t>
      </w:r>
      <w:r>
        <w:rPr>
          <w:rFonts w:ascii="Times New Roman" w:hAnsi="Times New Roman" w:cs="Times New Roman"/>
          <w:sz w:val="24"/>
          <w:szCs w:val="24"/>
        </w:rPr>
        <w:t xml:space="preserve">again </w:t>
      </w:r>
      <w:r w:rsidRPr="009F3FFE">
        <w:rPr>
          <w:rFonts w:ascii="Times New Roman" w:hAnsi="Times New Roman" w:cs="Times New Roman"/>
          <w:sz w:val="24"/>
          <w:szCs w:val="24"/>
        </w:rPr>
        <w:t>involved the pre-1909 data. The R</w:t>
      </w:r>
      <w:r>
        <w:rPr>
          <w:rFonts w:ascii="Times New Roman" w:hAnsi="Times New Roman" w:cs="Times New Roman"/>
          <w:sz w:val="24"/>
          <w:szCs w:val="24"/>
        </w:rPr>
        <w:t xml:space="preserve">omer and Balke-Gordon estimates are </w:t>
      </w:r>
      <w:r w:rsidRPr="009F3FFE">
        <w:rPr>
          <w:rFonts w:ascii="Times New Roman" w:hAnsi="Times New Roman" w:cs="Times New Roman"/>
          <w:sz w:val="24"/>
          <w:szCs w:val="24"/>
        </w:rPr>
        <w:t xml:space="preserve">very similar to each other for the years 1919-1929 (see table 1).  </w:t>
      </w:r>
      <w:r>
        <w:rPr>
          <w:rFonts w:ascii="Times New Roman" w:hAnsi="Times New Roman" w:cs="Times New Roman"/>
          <w:sz w:val="24"/>
          <w:szCs w:val="24"/>
        </w:rPr>
        <w:t xml:space="preserve">I split their small differences, </w:t>
      </w:r>
      <w:r w:rsidRPr="009F3FFE">
        <w:rPr>
          <w:rFonts w:ascii="Times New Roman" w:hAnsi="Times New Roman" w:cs="Times New Roman"/>
          <w:sz w:val="24"/>
          <w:szCs w:val="24"/>
        </w:rPr>
        <w:t>and use</w:t>
      </w:r>
      <w:r>
        <w:rPr>
          <w:rFonts w:ascii="Times New Roman" w:hAnsi="Times New Roman" w:cs="Times New Roman"/>
          <w:sz w:val="24"/>
          <w:szCs w:val="24"/>
        </w:rPr>
        <w:t xml:space="preserve"> an average of the two </w:t>
      </w:r>
      <w:r w:rsidRPr="009F3FFE">
        <w:rPr>
          <w:rFonts w:ascii="Times New Roman" w:hAnsi="Times New Roman" w:cs="Times New Roman"/>
          <w:sz w:val="24"/>
          <w:szCs w:val="24"/>
        </w:rPr>
        <w:t>as an annual GNP series for 1919-1929.</w:t>
      </w:r>
    </w:p>
    <w:p w14:paraId="5BE1552F" w14:textId="4974A24E" w:rsidR="00F6530C" w:rsidRPr="008254E6" w:rsidRDefault="00F6530C" w:rsidP="00F6530C">
      <w:pPr>
        <w:spacing w:line="480" w:lineRule="auto"/>
        <w:rPr>
          <w:rFonts w:ascii="Times New Roman" w:hAnsi="Times New Roman" w:cs="Times New Roman"/>
          <w:b/>
          <w:sz w:val="24"/>
          <w:szCs w:val="24"/>
        </w:rPr>
      </w:pPr>
      <w:r w:rsidRPr="008254E6">
        <w:rPr>
          <w:rFonts w:ascii="Times New Roman" w:hAnsi="Times New Roman" w:cs="Times New Roman"/>
          <w:b/>
          <w:sz w:val="24"/>
          <w:szCs w:val="24"/>
        </w:rPr>
        <w:t>Potential Output</w:t>
      </w:r>
    </w:p>
    <w:p w14:paraId="30B98897" w14:textId="35550B6A" w:rsidR="00F6530C" w:rsidRDefault="00F6530C">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Annual estimates and</w:t>
      </w:r>
      <w:r>
        <w:rPr>
          <w:rFonts w:ascii="Times New Roman" w:hAnsi="Times New Roman" w:cs="Times New Roman"/>
          <w:sz w:val="24"/>
          <w:szCs w:val="24"/>
        </w:rPr>
        <w:t xml:space="preserve"> </w:t>
      </w:r>
      <w:r w:rsidRPr="009F3FFE">
        <w:rPr>
          <w:rFonts w:ascii="Times New Roman" w:hAnsi="Times New Roman" w:cs="Times New Roman"/>
          <w:sz w:val="24"/>
          <w:szCs w:val="24"/>
        </w:rPr>
        <w:t>forecasts of potential are currently provided by the Congressional Budget Office in their</w:t>
      </w:r>
      <w:r>
        <w:rPr>
          <w:rFonts w:ascii="Times New Roman" w:hAnsi="Times New Roman" w:cs="Times New Roman"/>
          <w:sz w:val="24"/>
          <w:szCs w:val="24"/>
        </w:rPr>
        <w:t xml:space="preserve"> publication </w:t>
      </w:r>
      <w:r w:rsidRPr="009F3FFE">
        <w:rPr>
          <w:rFonts w:ascii="Times New Roman" w:hAnsi="Times New Roman" w:cs="Times New Roman"/>
          <w:sz w:val="24"/>
          <w:szCs w:val="24"/>
          <w:u w:val="single"/>
        </w:rPr>
        <w:t>Budget and Economic Outlook</w:t>
      </w:r>
      <w:r>
        <w:rPr>
          <w:rFonts w:ascii="Times New Roman" w:hAnsi="Times New Roman" w:cs="Times New Roman"/>
          <w:sz w:val="24"/>
          <w:szCs w:val="24"/>
        </w:rPr>
        <w:t>, which appears</w:t>
      </w:r>
      <w:r w:rsidRPr="009F3FFE">
        <w:rPr>
          <w:rFonts w:ascii="Times New Roman" w:hAnsi="Times New Roman" w:cs="Times New Roman"/>
          <w:sz w:val="24"/>
          <w:szCs w:val="24"/>
        </w:rPr>
        <w:t xml:space="preserve"> each January.  </w:t>
      </w:r>
      <w:r w:rsidR="00DB044E">
        <w:rPr>
          <w:rFonts w:ascii="Times New Roman" w:hAnsi="Times New Roman" w:cs="Times New Roman"/>
          <w:sz w:val="24"/>
          <w:szCs w:val="24"/>
        </w:rPr>
        <w:t>The CBO methodology</w:t>
      </w:r>
      <w:r w:rsidR="00215F93">
        <w:rPr>
          <w:rFonts w:ascii="Times New Roman" w:hAnsi="Times New Roman" w:cs="Times New Roman"/>
          <w:sz w:val="24"/>
          <w:szCs w:val="24"/>
        </w:rPr>
        <w:t xml:space="preserve"> for forecasting </w:t>
      </w:r>
      <w:r w:rsidR="00DB044E">
        <w:rPr>
          <w:rFonts w:ascii="Times New Roman" w:hAnsi="Times New Roman" w:cs="Times New Roman"/>
          <w:sz w:val="24"/>
          <w:szCs w:val="24"/>
        </w:rPr>
        <w:t>involves extrapolating trends in the growth of the components of potential output:  the potential labor force</w:t>
      </w:r>
      <w:r w:rsidR="000E35DB">
        <w:rPr>
          <w:rFonts w:ascii="Times New Roman" w:hAnsi="Times New Roman" w:cs="Times New Roman"/>
          <w:sz w:val="24"/>
          <w:szCs w:val="24"/>
        </w:rPr>
        <w:t>, capital services, and TFP</w:t>
      </w:r>
      <w:r w:rsidR="00AE34F2">
        <w:rPr>
          <w:rFonts w:ascii="Times New Roman" w:hAnsi="Times New Roman" w:cs="Times New Roman"/>
          <w:sz w:val="24"/>
          <w:szCs w:val="24"/>
        </w:rPr>
        <w:t>.</w:t>
      </w:r>
      <w:r w:rsidR="00A13CF9">
        <w:rPr>
          <w:rFonts w:ascii="Times New Roman" w:hAnsi="Times New Roman" w:cs="Times New Roman"/>
          <w:sz w:val="24"/>
          <w:szCs w:val="24"/>
        </w:rPr>
        <w:t xml:space="preserve"> </w:t>
      </w:r>
      <w:r w:rsidR="00323450">
        <w:rPr>
          <w:rFonts w:ascii="Times New Roman" w:hAnsi="Times New Roman" w:cs="Times New Roman"/>
          <w:sz w:val="24"/>
          <w:szCs w:val="24"/>
        </w:rPr>
        <w:t xml:space="preserve">The CBO has constructed estimates of potential output going back to 1950 but not earlier (see Carter et al, 2005, series Cb23). </w:t>
      </w:r>
      <w:r w:rsidR="006C66D1">
        <w:rPr>
          <w:rFonts w:ascii="Times New Roman" w:hAnsi="Times New Roman" w:cs="Times New Roman"/>
          <w:sz w:val="24"/>
          <w:szCs w:val="24"/>
        </w:rPr>
        <w:t>CBO methods explicit</w:t>
      </w:r>
      <w:r w:rsidR="00061CB8">
        <w:rPr>
          <w:rFonts w:ascii="Times New Roman" w:hAnsi="Times New Roman" w:cs="Times New Roman"/>
          <w:sz w:val="24"/>
          <w:szCs w:val="24"/>
        </w:rPr>
        <w:t>ly</w:t>
      </w:r>
      <w:r w:rsidR="006C66D1">
        <w:rPr>
          <w:rFonts w:ascii="Times New Roman" w:hAnsi="Times New Roman" w:cs="Times New Roman"/>
          <w:sz w:val="24"/>
          <w:szCs w:val="24"/>
        </w:rPr>
        <w:t xml:space="preserve"> endorse the criterion that in order for a period to be above potential, it must be associated with accelerating inflation (Congressional Budget Office, 2004).</w:t>
      </w:r>
      <w:r w:rsidR="006C66D1">
        <w:rPr>
          <w:rStyle w:val="FootnoteReference"/>
          <w:rFonts w:ascii="Times New Roman" w:hAnsi="Times New Roman" w:cs="Times New Roman"/>
          <w:sz w:val="24"/>
          <w:szCs w:val="24"/>
        </w:rPr>
        <w:footnoteReference w:id="13"/>
      </w:r>
    </w:p>
    <w:p w14:paraId="58B9CB77" w14:textId="5C39981A" w:rsidR="00F6530C" w:rsidRPr="009F3FFE" w:rsidRDefault="00C67C42" w:rsidP="005C783E">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Again, my approach is to search </w:t>
      </w:r>
      <w:r w:rsidR="00364F39">
        <w:rPr>
          <w:rFonts w:ascii="Times New Roman" w:hAnsi="Times New Roman" w:cs="Times New Roman"/>
          <w:sz w:val="24"/>
          <w:szCs w:val="24"/>
        </w:rPr>
        <w:t>for</w:t>
      </w:r>
      <w:r>
        <w:rPr>
          <w:rFonts w:ascii="Times New Roman" w:hAnsi="Times New Roman" w:cs="Times New Roman"/>
          <w:sz w:val="24"/>
          <w:szCs w:val="24"/>
        </w:rPr>
        <w:t xml:space="preserve"> </w:t>
      </w:r>
      <w:r w:rsidR="00364F39">
        <w:rPr>
          <w:rFonts w:ascii="Times New Roman" w:hAnsi="Times New Roman" w:cs="Times New Roman"/>
          <w:sz w:val="24"/>
          <w:szCs w:val="24"/>
        </w:rPr>
        <w:t xml:space="preserve">benchmark </w:t>
      </w:r>
      <w:r w:rsidR="005C783E">
        <w:rPr>
          <w:rFonts w:ascii="Times New Roman" w:hAnsi="Times New Roman" w:cs="Times New Roman"/>
          <w:sz w:val="24"/>
          <w:szCs w:val="24"/>
        </w:rPr>
        <w:t>year</w:t>
      </w:r>
      <w:r>
        <w:rPr>
          <w:rFonts w:ascii="Times New Roman" w:hAnsi="Times New Roman" w:cs="Times New Roman"/>
          <w:sz w:val="24"/>
          <w:szCs w:val="24"/>
        </w:rPr>
        <w:t>s</w:t>
      </w:r>
      <w:r w:rsidR="005C783E">
        <w:rPr>
          <w:rFonts w:ascii="Times New Roman" w:hAnsi="Times New Roman" w:cs="Times New Roman"/>
          <w:sz w:val="24"/>
          <w:szCs w:val="24"/>
        </w:rPr>
        <w:t xml:space="preserve"> </w:t>
      </w:r>
      <w:r w:rsidR="00364F39">
        <w:rPr>
          <w:rFonts w:ascii="Times New Roman" w:hAnsi="Times New Roman" w:cs="Times New Roman"/>
          <w:sz w:val="24"/>
          <w:szCs w:val="24"/>
        </w:rPr>
        <w:t>with high employment and low or nonexistent in</w:t>
      </w:r>
      <w:r>
        <w:rPr>
          <w:rFonts w:ascii="Times New Roman" w:hAnsi="Times New Roman" w:cs="Times New Roman"/>
          <w:sz w:val="24"/>
          <w:szCs w:val="24"/>
        </w:rPr>
        <w:t>flation. M</w:t>
      </w:r>
      <w:r w:rsidR="00364F39">
        <w:rPr>
          <w:rFonts w:ascii="Times New Roman" w:hAnsi="Times New Roman" w:cs="Times New Roman"/>
          <w:sz w:val="24"/>
          <w:szCs w:val="24"/>
        </w:rPr>
        <w:t xml:space="preserve">y first candidate </w:t>
      </w:r>
      <w:r w:rsidR="00F6530C">
        <w:rPr>
          <w:rFonts w:ascii="Times New Roman" w:hAnsi="Times New Roman" w:cs="Times New Roman"/>
          <w:sz w:val="24"/>
          <w:szCs w:val="24"/>
        </w:rPr>
        <w:t xml:space="preserve">is </w:t>
      </w:r>
      <w:r w:rsidR="00F6530C" w:rsidRPr="009F3FFE">
        <w:rPr>
          <w:rFonts w:ascii="Times New Roman" w:hAnsi="Times New Roman" w:cs="Times New Roman"/>
          <w:sz w:val="24"/>
          <w:szCs w:val="24"/>
        </w:rPr>
        <w:t>1929.  Why 1929?</w:t>
      </w:r>
      <w:r w:rsidR="00F6530C">
        <w:rPr>
          <w:rFonts w:ascii="Times New Roman" w:hAnsi="Times New Roman" w:cs="Times New Roman"/>
          <w:sz w:val="24"/>
          <w:szCs w:val="24"/>
        </w:rPr>
        <w:t xml:space="preserve"> </w:t>
      </w:r>
      <w:r w:rsidR="00F6530C" w:rsidRPr="009F3FFE">
        <w:rPr>
          <w:rFonts w:ascii="Times New Roman" w:hAnsi="Times New Roman" w:cs="Times New Roman"/>
          <w:sz w:val="24"/>
          <w:szCs w:val="24"/>
        </w:rPr>
        <w:t xml:space="preserve">The National Bureau’s chronology of business cycles identifies four expansion (trough to peak) business cycle phases between 1919 and 1929:  March 1919 to January 1920 (10 months), July 1921 through May 1923 (22 months), </w:t>
      </w:r>
      <w:r w:rsidR="00F6530C" w:rsidRPr="009F3FFE">
        <w:rPr>
          <w:rFonts w:ascii="Times New Roman" w:hAnsi="Times New Roman" w:cs="Times New Roman"/>
          <w:sz w:val="24"/>
          <w:szCs w:val="24"/>
        </w:rPr>
        <w:lastRenderedPageBreak/>
        <w:t>July 1924 through October 1926 (27 months), and November 1927 through August of 1929 (21 months).</w:t>
      </w:r>
      <w:r w:rsidR="00F6530C">
        <w:rPr>
          <w:rStyle w:val="FootnoteReference"/>
          <w:rFonts w:ascii="Times New Roman" w:hAnsi="Times New Roman" w:cs="Times New Roman"/>
          <w:sz w:val="24"/>
          <w:szCs w:val="24"/>
        </w:rPr>
        <w:footnoteReference w:id="14"/>
      </w:r>
      <w:r w:rsidR="00F6530C" w:rsidRPr="009F3FFE">
        <w:rPr>
          <w:rFonts w:ascii="Times New Roman" w:hAnsi="Times New Roman" w:cs="Times New Roman"/>
          <w:sz w:val="24"/>
          <w:szCs w:val="24"/>
        </w:rPr>
        <w:t xml:space="preserve">  The Bureau committee responsible for business cycle dating has always taken pride in eschewing a mechanical algorithm, instead considering and evaluating multiple sources of data</w:t>
      </w:r>
      <w:r w:rsidR="00F6530C">
        <w:rPr>
          <w:rFonts w:ascii="Times New Roman" w:hAnsi="Times New Roman" w:cs="Times New Roman"/>
          <w:sz w:val="24"/>
          <w:szCs w:val="24"/>
        </w:rPr>
        <w:t xml:space="preserve">.  For this decade, however, the chronology appears to be </w:t>
      </w:r>
      <w:r w:rsidR="00F6530C" w:rsidRPr="009F3FFE">
        <w:rPr>
          <w:rFonts w:ascii="Times New Roman" w:hAnsi="Times New Roman" w:cs="Times New Roman"/>
          <w:sz w:val="24"/>
          <w:szCs w:val="24"/>
        </w:rPr>
        <w:t xml:space="preserve">driven almost entirely by the Fed’s industrial production series, since every single </w:t>
      </w:r>
      <w:r w:rsidR="00F6530C">
        <w:rPr>
          <w:rFonts w:ascii="Times New Roman" w:hAnsi="Times New Roman" w:cs="Times New Roman"/>
          <w:sz w:val="24"/>
          <w:szCs w:val="24"/>
        </w:rPr>
        <w:t xml:space="preserve">NBER </w:t>
      </w:r>
      <w:r w:rsidR="00F6530C" w:rsidRPr="009F3FFE">
        <w:rPr>
          <w:rFonts w:ascii="Times New Roman" w:hAnsi="Times New Roman" w:cs="Times New Roman"/>
          <w:sz w:val="24"/>
          <w:szCs w:val="24"/>
        </w:rPr>
        <w:t>peak or trough corresponds exactly to a low or high point in that monthly index, with the exception of the very last (industrial production peaks in July of 1929 whereas the chronology shows the cycle peak in August).</w:t>
      </w:r>
    </w:p>
    <w:p w14:paraId="6ABF806D" w14:textId="521CEB8D" w:rsidR="00F6530C" w:rsidRPr="009F3FFE" w:rsidRDefault="00F6530C" w:rsidP="00F6530C">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The argument that for annual data, we should consider the US economy at potential in 1929 is</w:t>
      </w:r>
      <w:r>
        <w:rPr>
          <w:rFonts w:ascii="Times New Roman" w:hAnsi="Times New Roman" w:cs="Times New Roman"/>
          <w:sz w:val="24"/>
          <w:szCs w:val="24"/>
        </w:rPr>
        <w:t xml:space="preserve"> also</w:t>
      </w:r>
      <w:r w:rsidRPr="009F3FFE">
        <w:rPr>
          <w:rFonts w:ascii="Times New Roman" w:hAnsi="Times New Roman" w:cs="Times New Roman"/>
          <w:sz w:val="24"/>
          <w:szCs w:val="24"/>
        </w:rPr>
        <w:t xml:space="preserve"> based </w:t>
      </w:r>
      <w:r>
        <w:rPr>
          <w:rFonts w:ascii="Times New Roman" w:hAnsi="Times New Roman" w:cs="Times New Roman"/>
          <w:sz w:val="24"/>
          <w:szCs w:val="24"/>
        </w:rPr>
        <w:t xml:space="preserve">on </w:t>
      </w:r>
      <w:r w:rsidRPr="009F3FFE">
        <w:rPr>
          <w:rFonts w:ascii="Times New Roman" w:hAnsi="Times New Roman" w:cs="Times New Roman"/>
          <w:sz w:val="24"/>
          <w:szCs w:val="24"/>
        </w:rPr>
        <w:t xml:space="preserve">the fact that </w:t>
      </w:r>
      <w:r>
        <w:rPr>
          <w:rFonts w:ascii="Times New Roman" w:hAnsi="Times New Roman" w:cs="Times New Roman"/>
          <w:sz w:val="24"/>
          <w:szCs w:val="24"/>
        </w:rPr>
        <w:t xml:space="preserve">although </w:t>
      </w:r>
      <w:r w:rsidRPr="009F3FFE">
        <w:rPr>
          <w:rFonts w:ascii="Times New Roman" w:hAnsi="Times New Roman" w:cs="Times New Roman"/>
          <w:sz w:val="24"/>
          <w:szCs w:val="24"/>
        </w:rPr>
        <w:t>the unemployment rate was very low (2.89 percent of the civilian</w:t>
      </w:r>
      <w:r>
        <w:rPr>
          <w:rFonts w:ascii="Times New Roman" w:hAnsi="Times New Roman" w:cs="Times New Roman"/>
          <w:sz w:val="24"/>
          <w:szCs w:val="24"/>
        </w:rPr>
        <w:t xml:space="preserve"> labor force) there is no </w:t>
      </w:r>
      <w:r w:rsidRPr="009F3FFE">
        <w:rPr>
          <w:rFonts w:ascii="Times New Roman" w:hAnsi="Times New Roman" w:cs="Times New Roman"/>
          <w:sz w:val="24"/>
          <w:szCs w:val="24"/>
        </w:rPr>
        <w:t xml:space="preserve">evidence </w:t>
      </w:r>
      <w:r>
        <w:rPr>
          <w:rFonts w:ascii="Times New Roman" w:hAnsi="Times New Roman" w:cs="Times New Roman"/>
          <w:sz w:val="24"/>
          <w:szCs w:val="24"/>
        </w:rPr>
        <w:t>at all of goods and service price inflation.  Thus I differ with Orphanides who suggest</w:t>
      </w:r>
      <w:r w:rsidR="00364F39">
        <w:rPr>
          <w:rFonts w:ascii="Times New Roman" w:hAnsi="Times New Roman" w:cs="Times New Roman"/>
          <w:sz w:val="24"/>
          <w:szCs w:val="24"/>
        </w:rPr>
        <w:t>s</w:t>
      </w:r>
      <w:r>
        <w:rPr>
          <w:rFonts w:ascii="Times New Roman" w:hAnsi="Times New Roman" w:cs="Times New Roman"/>
          <w:sz w:val="24"/>
          <w:szCs w:val="24"/>
        </w:rPr>
        <w:t xml:space="preserve"> that the economy was above potential in that year because output growth was “above normal.”  That’s not enough.  One has to be able to show, at least retrospectively, evidence of an acceleration of inflation. Both Romer and Balke-Gordon show no change in the implicit price deflator between 1928 and 1929 (see</w:t>
      </w:r>
      <w:r w:rsidRPr="009F3FFE">
        <w:rPr>
          <w:rFonts w:ascii="Times New Roman" w:hAnsi="Times New Roman" w:cs="Times New Roman"/>
          <w:sz w:val="24"/>
          <w:szCs w:val="24"/>
        </w:rPr>
        <w:t xml:space="preserve"> </w:t>
      </w:r>
      <w:r>
        <w:rPr>
          <w:rFonts w:ascii="Times New Roman" w:hAnsi="Times New Roman" w:cs="Times New Roman"/>
          <w:sz w:val="24"/>
          <w:szCs w:val="24"/>
        </w:rPr>
        <w:t>table 1).  In other work</w:t>
      </w:r>
      <w:r w:rsidRPr="009F3FFE">
        <w:rPr>
          <w:rFonts w:ascii="Times New Roman" w:hAnsi="Times New Roman" w:cs="Times New Roman"/>
          <w:sz w:val="24"/>
          <w:szCs w:val="24"/>
        </w:rPr>
        <w:t xml:space="preserve"> </w:t>
      </w:r>
      <w:r>
        <w:rPr>
          <w:rFonts w:ascii="Times New Roman" w:hAnsi="Times New Roman" w:cs="Times New Roman"/>
          <w:sz w:val="24"/>
          <w:szCs w:val="24"/>
        </w:rPr>
        <w:t>Gordon as well has repeatedly chosen</w:t>
      </w:r>
      <w:r w:rsidRPr="009F3FFE">
        <w:rPr>
          <w:rFonts w:ascii="Times New Roman" w:hAnsi="Times New Roman" w:cs="Times New Roman"/>
          <w:sz w:val="24"/>
          <w:szCs w:val="24"/>
        </w:rPr>
        <w:t xml:space="preserve"> 1928 as a benchmark, suggesting that in 1929 the economy was above potential.  But the absence of inflationary pressures </w:t>
      </w:r>
      <w:r>
        <w:rPr>
          <w:rFonts w:ascii="Times New Roman" w:hAnsi="Times New Roman" w:cs="Times New Roman"/>
          <w:sz w:val="24"/>
          <w:szCs w:val="24"/>
        </w:rPr>
        <w:t>in 1929 argues against this view (see Field, 2003).</w:t>
      </w:r>
    </w:p>
    <w:p w14:paraId="4FAEBA87" w14:textId="77777777" w:rsidR="00F6530C" w:rsidRDefault="00F6530C" w:rsidP="00F6530C">
      <w:pPr>
        <w:spacing w:line="480" w:lineRule="auto"/>
        <w:ind w:firstLine="576"/>
        <w:rPr>
          <w:rFonts w:ascii="Times New Roman" w:hAnsi="Times New Roman" w:cs="Times New Roman"/>
          <w:sz w:val="24"/>
          <w:szCs w:val="24"/>
        </w:rPr>
      </w:pPr>
      <w:r>
        <w:rPr>
          <w:rFonts w:ascii="Times New Roman" w:hAnsi="Times New Roman" w:cs="Times New Roman"/>
          <w:sz w:val="24"/>
          <w:szCs w:val="24"/>
        </w:rPr>
        <w:lastRenderedPageBreak/>
        <w:t>One candidate</w:t>
      </w:r>
      <w:r w:rsidRPr="009F3FFE">
        <w:rPr>
          <w:rFonts w:ascii="Times New Roman" w:hAnsi="Times New Roman" w:cs="Times New Roman"/>
          <w:sz w:val="24"/>
          <w:szCs w:val="24"/>
        </w:rPr>
        <w:t xml:space="preserve"> for a second benchmark is 1919, given the low unemployment rate (2.34 percent).</w:t>
      </w:r>
      <w:r>
        <w:rPr>
          <w:rFonts w:ascii="Times New Roman" w:hAnsi="Times New Roman" w:cs="Times New Roman"/>
          <w:sz w:val="24"/>
          <w:szCs w:val="24"/>
        </w:rPr>
        <w:t xml:space="preserve">  Because of demobilization and the inflation situation, however, the choice </w:t>
      </w:r>
      <w:r w:rsidRPr="009F3FFE">
        <w:rPr>
          <w:rFonts w:ascii="Times New Roman" w:hAnsi="Times New Roman" w:cs="Times New Roman"/>
          <w:sz w:val="24"/>
          <w:szCs w:val="24"/>
        </w:rPr>
        <w:t>of that year</w:t>
      </w:r>
      <w:r>
        <w:rPr>
          <w:rFonts w:ascii="Times New Roman" w:hAnsi="Times New Roman" w:cs="Times New Roman"/>
          <w:sz w:val="24"/>
          <w:szCs w:val="24"/>
        </w:rPr>
        <w:t xml:space="preserve"> is more problematic.</w:t>
      </w:r>
      <w:r w:rsidRPr="009F3FFE">
        <w:rPr>
          <w:rFonts w:ascii="Times New Roman" w:hAnsi="Times New Roman" w:cs="Times New Roman"/>
          <w:sz w:val="24"/>
          <w:szCs w:val="24"/>
        </w:rPr>
        <w:t xml:space="preserve"> Economic activity in</w:t>
      </w:r>
      <w:r>
        <w:rPr>
          <w:rFonts w:ascii="Times New Roman" w:hAnsi="Times New Roman" w:cs="Times New Roman"/>
          <w:sz w:val="24"/>
          <w:szCs w:val="24"/>
        </w:rPr>
        <w:t xml:space="preserve"> 1919</w:t>
      </w:r>
      <w:r w:rsidRPr="009F3FFE">
        <w:rPr>
          <w:rFonts w:ascii="Times New Roman" w:hAnsi="Times New Roman" w:cs="Times New Roman"/>
          <w:sz w:val="24"/>
          <w:szCs w:val="24"/>
        </w:rPr>
        <w:t xml:space="preserve"> was </w:t>
      </w:r>
      <w:r>
        <w:rPr>
          <w:rFonts w:ascii="Times New Roman" w:hAnsi="Times New Roman" w:cs="Times New Roman"/>
          <w:sz w:val="24"/>
          <w:szCs w:val="24"/>
        </w:rPr>
        <w:t xml:space="preserve">affected by a highly unstable </w:t>
      </w:r>
      <w:r w:rsidRPr="009F3FFE">
        <w:rPr>
          <w:rFonts w:ascii="Times New Roman" w:hAnsi="Times New Roman" w:cs="Times New Roman"/>
          <w:sz w:val="24"/>
          <w:szCs w:val="24"/>
        </w:rPr>
        <w:t>e</w:t>
      </w:r>
      <w:r>
        <w:rPr>
          <w:rFonts w:ascii="Times New Roman" w:hAnsi="Times New Roman" w:cs="Times New Roman"/>
          <w:sz w:val="24"/>
          <w:szCs w:val="24"/>
        </w:rPr>
        <w:t>conomic and political</w:t>
      </w:r>
      <w:r w:rsidRPr="009F3FFE">
        <w:rPr>
          <w:rFonts w:ascii="Times New Roman" w:hAnsi="Times New Roman" w:cs="Times New Roman"/>
          <w:sz w:val="24"/>
          <w:szCs w:val="24"/>
        </w:rPr>
        <w:t xml:space="preserve"> environment</w:t>
      </w:r>
      <w:r>
        <w:rPr>
          <w:rFonts w:ascii="Times New Roman" w:hAnsi="Times New Roman" w:cs="Times New Roman"/>
          <w:sz w:val="24"/>
          <w:szCs w:val="24"/>
        </w:rPr>
        <w:t xml:space="preserve"> following</w:t>
      </w:r>
      <w:r w:rsidRPr="009F3FFE">
        <w:rPr>
          <w:rFonts w:ascii="Times New Roman" w:hAnsi="Times New Roman" w:cs="Times New Roman"/>
          <w:sz w:val="24"/>
          <w:szCs w:val="24"/>
        </w:rPr>
        <w:t xml:space="preserve"> the First World War</w:t>
      </w:r>
      <w:r>
        <w:rPr>
          <w:rFonts w:ascii="Times New Roman" w:hAnsi="Times New Roman" w:cs="Times New Roman"/>
          <w:sz w:val="24"/>
          <w:szCs w:val="24"/>
        </w:rPr>
        <w:t xml:space="preserve">. </w:t>
      </w:r>
      <w:r w:rsidRPr="009F3FFE">
        <w:rPr>
          <w:rFonts w:ascii="Times New Roman" w:hAnsi="Times New Roman" w:cs="Times New Roman"/>
          <w:sz w:val="24"/>
          <w:szCs w:val="24"/>
        </w:rPr>
        <w:t xml:space="preserve"> A short wartime recession ended, according to the NBER, in March of 191</w:t>
      </w:r>
      <w:r>
        <w:rPr>
          <w:rFonts w:ascii="Times New Roman" w:hAnsi="Times New Roman" w:cs="Times New Roman"/>
          <w:sz w:val="24"/>
          <w:szCs w:val="24"/>
        </w:rPr>
        <w:t>9, followed by</w:t>
      </w:r>
      <w:r w:rsidRPr="009F3FFE">
        <w:rPr>
          <w:rFonts w:ascii="Times New Roman" w:hAnsi="Times New Roman" w:cs="Times New Roman"/>
          <w:sz w:val="24"/>
          <w:szCs w:val="24"/>
        </w:rPr>
        <w:t xml:space="preserve"> expansion through January of 1920.  Inflation during 1919 remained high, as it had during the war, although the monthly inflation rate, calculated on a year over year basis, did not accelerate (see data below on calculation of inflation rates</w:t>
      </w:r>
      <w:r>
        <w:rPr>
          <w:rFonts w:ascii="Times New Roman" w:hAnsi="Times New Roman" w:cs="Times New Roman"/>
          <w:sz w:val="24"/>
          <w:szCs w:val="24"/>
        </w:rPr>
        <w:t>)</w:t>
      </w:r>
      <w:r w:rsidRPr="009F3FFE">
        <w:rPr>
          <w:rFonts w:ascii="Times New Roman" w:hAnsi="Times New Roman" w:cs="Times New Roman"/>
          <w:sz w:val="24"/>
          <w:szCs w:val="24"/>
        </w:rPr>
        <w:t>.</w:t>
      </w:r>
      <w:r>
        <w:rPr>
          <w:rFonts w:ascii="Times New Roman" w:hAnsi="Times New Roman" w:cs="Times New Roman"/>
          <w:sz w:val="24"/>
          <w:szCs w:val="24"/>
        </w:rPr>
        <w:t xml:space="preserve"> Romer’s implicit price deflator, however, increased modestly from 1918 (2.4 percent year over year), and Balke-Gordon show a substantial 13 percent increase between the two years. So the picture is clouded: the recession and slow recovery provide grounds for believing the economy might have been below potential, but the possibly accelerating rate of inflation support for the view that it might have been above potential.</w:t>
      </w:r>
    </w:p>
    <w:tbl>
      <w:tblPr>
        <w:tblW w:w="8532" w:type="dxa"/>
        <w:tblCellMar>
          <w:left w:w="0" w:type="dxa"/>
          <w:right w:w="115" w:type="dxa"/>
        </w:tblCellMar>
        <w:tblLook w:val="04A0" w:firstRow="1" w:lastRow="0" w:firstColumn="1" w:lastColumn="0" w:noHBand="0" w:noVBand="1"/>
      </w:tblPr>
      <w:tblGrid>
        <w:gridCol w:w="8532"/>
      </w:tblGrid>
      <w:tr w:rsidR="00F6530C" w:rsidRPr="009F3FFE" w14:paraId="1F1486E0" w14:textId="77777777" w:rsidTr="00DB044E">
        <w:trPr>
          <w:trHeight w:val="250"/>
        </w:trPr>
        <w:tc>
          <w:tcPr>
            <w:tcW w:w="8532" w:type="dxa"/>
            <w:tcBorders>
              <w:top w:val="nil"/>
              <w:left w:val="nil"/>
              <w:bottom w:val="nil"/>
              <w:right w:val="nil"/>
            </w:tcBorders>
            <w:shd w:val="clear" w:color="auto" w:fill="auto"/>
            <w:noWrap/>
            <w:vAlign w:val="bottom"/>
            <w:hideMark/>
          </w:tcPr>
          <w:p w14:paraId="7D369A37" w14:textId="77777777" w:rsidR="00F6530C" w:rsidRDefault="00F6530C" w:rsidP="00DB044E">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 xml:space="preserve">The standard explanation for the continuing postwar inflation is overhang from the monetization of debt issued to finance the war (Kemmerer, 1918, Hollander, 1920).  </w:t>
            </w:r>
            <w:r>
              <w:rPr>
                <w:rFonts w:ascii="Times New Roman" w:hAnsi="Times New Roman" w:cs="Times New Roman"/>
                <w:sz w:val="24"/>
                <w:szCs w:val="24"/>
              </w:rPr>
              <w:t>During the war the</w:t>
            </w:r>
            <w:r w:rsidRPr="009F3FFE">
              <w:rPr>
                <w:rFonts w:ascii="Times New Roman" w:hAnsi="Times New Roman" w:cs="Times New Roman"/>
                <w:sz w:val="24"/>
                <w:szCs w:val="24"/>
              </w:rPr>
              <w:t xml:space="preserve"> Treasury repeatedly borrowed by selling revenue anticipation certificates to the commercial b</w:t>
            </w:r>
            <w:r>
              <w:rPr>
                <w:rFonts w:ascii="Times New Roman" w:hAnsi="Times New Roman" w:cs="Times New Roman"/>
                <w:sz w:val="24"/>
                <w:szCs w:val="24"/>
              </w:rPr>
              <w:t>anking system. Banks were</w:t>
            </w:r>
            <w:r w:rsidRPr="009F3FFE">
              <w:rPr>
                <w:rFonts w:ascii="Times New Roman" w:hAnsi="Times New Roman" w:cs="Times New Roman"/>
                <w:sz w:val="24"/>
                <w:szCs w:val="24"/>
              </w:rPr>
              <w:t xml:space="preserve"> not required to hold reserves against the de</w:t>
            </w:r>
            <w:r>
              <w:rPr>
                <w:rFonts w:ascii="Times New Roman" w:hAnsi="Times New Roman" w:cs="Times New Roman"/>
                <w:sz w:val="24"/>
                <w:szCs w:val="24"/>
              </w:rPr>
              <w:t>mand deposits created in the process, and they</w:t>
            </w:r>
            <w:r w:rsidRPr="009F3FFE">
              <w:rPr>
                <w:rFonts w:ascii="Times New Roman" w:hAnsi="Times New Roman" w:cs="Times New Roman"/>
                <w:sz w:val="24"/>
                <w:szCs w:val="24"/>
              </w:rPr>
              <w:t xml:space="preserve"> could also easily discount these Treasury securities </w:t>
            </w:r>
            <w:r>
              <w:rPr>
                <w:rFonts w:ascii="Times New Roman" w:hAnsi="Times New Roman" w:cs="Times New Roman"/>
                <w:sz w:val="24"/>
                <w:szCs w:val="24"/>
              </w:rPr>
              <w:t>at</w:t>
            </w:r>
            <w:r w:rsidRPr="009F3FFE">
              <w:rPr>
                <w:rFonts w:ascii="Times New Roman" w:hAnsi="Times New Roman" w:cs="Times New Roman"/>
                <w:sz w:val="24"/>
                <w:szCs w:val="24"/>
              </w:rPr>
              <w:t xml:space="preserve"> the Fed.  An unsterilized inflow of gold from European combatants in payment for food and munitions added to the inflationary fuel. On the other hand, it does not appear as if </w:t>
            </w:r>
            <w:r>
              <w:rPr>
                <w:rFonts w:ascii="Times New Roman" w:hAnsi="Times New Roman" w:cs="Times New Roman"/>
                <w:sz w:val="24"/>
                <w:szCs w:val="24"/>
              </w:rPr>
              <w:t xml:space="preserve">longer run </w:t>
            </w:r>
            <w:r w:rsidRPr="009F3FFE">
              <w:rPr>
                <w:rFonts w:ascii="Times New Roman" w:hAnsi="Times New Roman" w:cs="Times New Roman"/>
                <w:sz w:val="24"/>
                <w:szCs w:val="24"/>
              </w:rPr>
              <w:t>infl</w:t>
            </w:r>
            <w:r>
              <w:rPr>
                <w:rFonts w:ascii="Times New Roman" w:hAnsi="Times New Roman" w:cs="Times New Roman"/>
                <w:sz w:val="24"/>
                <w:szCs w:val="24"/>
              </w:rPr>
              <w:t>ationary (or price level) expectations became</w:t>
            </w:r>
            <w:r w:rsidRPr="009F3FFE">
              <w:rPr>
                <w:rFonts w:ascii="Times New Roman" w:hAnsi="Times New Roman" w:cs="Times New Roman"/>
                <w:sz w:val="24"/>
                <w:szCs w:val="24"/>
              </w:rPr>
              <w:t xml:space="preserve"> unanchored.  The rapid and relatively cost-free disinflation and indeed deflation (compare with 1982) subsequent to 1919 suggests that the inflation </w:t>
            </w:r>
            <w:r w:rsidRPr="009F3FFE">
              <w:rPr>
                <w:rFonts w:ascii="Times New Roman" w:hAnsi="Times New Roman" w:cs="Times New Roman"/>
                <w:sz w:val="24"/>
                <w:szCs w:val="24"/>
              </w:rPr>
              <w:lastRenderedPageBreak/>
              <w:t>was not expected to be permanent (Kemmerer, 1918)</w:t>
            </w:r>
            <w:r>
              <w:rPr>
                <w:rFonts w:ascii="Times New Roman" w:hAnsi="Times New Roman" w:cs="Times New Roman"/>
                <w:sz w:val="24"/>
                <w:szCs w:val="24"/>
              </w:rPr>
              <w:t xml:space="preserve">. People apparently </w:t>
            </w:r>
            <w:r w:rsidRPr="009F3FFE">
              <w:rPr>
                <w:rFonts w:ascii="Times New Roman" w:hAnsi="Times New Roman" w:cs="Times New Roman"/>
                <w:sz w:val="24"/>
                <w:szCs w:val="24"/>
              </w:rPr>
              <w:t>anticipated reversion to lower price levels (as in fact happened).</w:t>
            </w:r>
          </w:p>
          <w:p w14:paraId="32C733A1" w14:textId="6B212D1D" w:rsidR="00F6530C" w:rsidRPr="009F3FFE" w:rsidRDefault="00F6530C" w:rsidP="00DB044E">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9F3FFE">
              <w:rPr>
                <w:rFonts w:ascii="Times New Roman" w:hAnsi="Times New Roman" w:cs="Times New Roman"/>
                <w:sz w:val="24"/>
                <w:szCs w:val="24"/>
              </w:rPr>
              <w:t xml:space="preserve">Calculating the </w:t>
            </w:r>
            <w:r w:rsidRPr="009F3FFE">
              <w:rPr>
                <w:rFonts w:ascii="Times New Roman" w:eastAsia="Times New Roman" w:hAnsi="Times New Roman" w:cs="Times New Roman"/>
                <w:sz w:val="24"/>
                <w:szCs w:val="24"/>
              </w:rPr>
              <w:t xml:space="preserve">continuously compounded growth rate between 1919 and 1929 using an </w:t>
            </w:r>
            <w:r w:rsidRPr="009F3FFE">
              <w:rPr>
                <w:rFonts w:ascii="Times New Roman" w:hAnsi="Times New Roman" w:cs="Times New Roman"/>
                <w:sz w:val="24"/>
                <w:szCs w:val="24"/>
              </w:rPr>
              <w:t xml:space="preserve">average of the Romer and Balke/Gordon estimates of annual real GNP yields an estimate </w:t>
            </w:r>
            <w:r w:rsidRPr="009F3FFE">
              <w:rPr>
                <w:rFonts w:ascii="Times New Roman" w:eastAsia="Times New Roman" w:hAnsi="Times New Roman" w:cs="Times New Roman"/>
                <w:sz w:val="24"/>
                <w:szCs w:val="24"/>
              </w:rPr>
              <w:t>of the trend growth of potential of 3.39 percent per year between 1919</w:t>
            </w:r>
            <w:r>
              <w:rPr>
                <w:rFonts w:ascii="Times New Roman" w:eastAsia="Times New Roman" w:hAnsi="Times New Roman" w:cs="Times New Roman"/>
                <w:sz w:val="24"/>
                <w:szCs w:val="24"/>
              </w:rPr>
              <w:t xml:space="preserve"> and 1929. This is </w:t>
            </w:r>
            <w:r w:rsidRPr="009F3FFE">
              <w:rPr>
                <w:rFonts w:ascii="Times New Roman" w:eastAsia="Times New Roman" w:hAnsi="Times New Roman" w:cs="Times New Roman"/>
                <w:sz w:val="24"/>
                <w:szCs w:val="24"/>
              </w:rPr>
              <w:t>above the long run average growth rate of the US economy since 1869</w:t>
            </w:r>
            <w:r>
              <w:rPr>
                <w:rFonts w:ascii="Times New Roman" w:eastAsia="Times New Roman" w:hAnsi="Times New Roman" w:cs="Times New Roman"/>
                <w:sz w:val="24"/>
                <w:szCs w:val="24"/>
              </w:rPr>
              <w:t xml:space="preserve"> (about 3 percent per year)</w:t>
            </w:r>
            <w:r w:rsidRPr="009F3F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lending credence to the view that 1919 may have been below potential</w:t>
            </w:r>
            <w:r w:rsidR="00364F39">
              <w:rPr>
                <w:rFonts w:ascii="Times New Roman" w:eastAsia="Times New Roman" w:hAnsi="Times New Roman" w:cs="Times New Roman"/>
                <w:sz w:val="24"/>
                <w:szCs w:val="24"/>
              </w:rPr>
              <w:t xml:space="preserve"> (since high real growth rates are often observed during recovery as one approaches potential from below)</w:t>
            </w:r>
            <w:r>
              <w:rPr>
                <w:rFonts w:ascii="Times New Roman" w:eastAsia="Times New Roman" w:hAnsi="Times New Roman" w:cs="Times New Roman"/>
                <w:sz w:val="24"/>
                <w:szCs w:val="24"/>
              </w:rPr>
              <w:t>.</w:t>
            </w:r>
          </w:p>
        </w:tc>
      </w:tr>
    </w:tbl>
    <w:p w14:paraId="7186FB9D" w14:textId="77777777" w:rsidR="00F6530C" w:rsidRDefault="00F6530C" w:rsidP="00F6530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F3FFE">
        <w:rPr>
          <w:rFonts w:ascii="Times New Roman" w:hAnsi="Times New Roman" w:cs="Times New Roman"/>
          <w:sz w:val="24"/>
          <w:szCs w:val="24"/>
        </w:rPr>
        <w:t>1923</w:t>
      </w:r>
      <w:r>
        <w:rPr>
          <w:rFonts w:ascii="Times New Roman" w:hAnsi="Times New Roman" w:cs="Times New Roman"/>
          <w:sz w:val="24"/>
          <w:szCs w:val="24"/>
        </w:rPr>
        <w:t xml:space="preserve"> is another candidate for a</w:t>
      </w:r>
      <w:r w:rsidRPr="009F3FFE">
        <w:rPr>
          <w:rFonts w:ascii="Times New Roman" w:hAnsi="Times New Roman" w:cs="Times New Roman"/>
          <w:sz w:val="24"/>
          <w:szCs w:val="24"/>
        </w:rPr>
        <w:t xml:space="preserve"> benchmark.  </w:t>
      </w:r>
      <w:r>
        <w:rPr>
          <w:rFonts w:ascii="Times New Roman" w:hAnsi="Times New Roman" w:cs="Times New Roman"/>
          <w:sz w:val="24"/>
          <w:szCs w:val="24"/>
        </w:rPr>
        <w:t>I</w:t>
      </w:r>
      <w:r w:rsidRPr="009F3FFE">
        <w:rPr>
          <w:rFonts w:ascii="Times New Roman" w:hAnsi="Times New Roman" w:cs="Times New Roman"/>
          <w:sz w:val="24"/>
          <w:szCs w:val="24"/>
        </w:rPr>
        <w:t xml:space="preserve">ndustrial production peaked in May after a 22 month expansion and remained relatively high throughout the remainder of the year. Inflation was virtually nonexistent, with the consumer price index in 1924 (and Balke-Gordon’s implicit price deflator) identical to what it was in 1923 (HSUS, series Cc1 and Cc2, Ca 215).  Calculating from 1923 to 1929, we have continuously compounded growth of 3.25 percent per year.  If 1919 was in fact above potential, the calculated growth rate from that year to 1929 should have been </w:t>
      </w:r>
      <w:r w:rsidRPr="009F3FFE">
        <w:rPr>
          <w:rFonts w:ascii="Times New Roman" w:hAnsi="Times New Roman" w:cs="Times New Roman"/>
          <w:i/>
          <w:sz w:val="24"/>
          <w:szCs w:val="24"/>
        </w:rPr>
        <w:t>lower</w:t>
      </w:r>
      <w:r w:rsidRPr="009F3FFE">
        <w:rPr>
          <w:rFonts w:ascii="Times New Roman" w:hAnsi="Times New Roman" w:cs="Times New Roman"/>
          <w:sz w:val="24"/>
          <w:szCs w:val="24"/>
        </w:rPr>
        <w:t xml:space="preserve"> than from 1923 to 1929.  In fact it is somew</w:t>
      </w:r>
      <w:r>
        <w:rPr>
          <w:rFonts w:ascii="Times New Roman" w:hAnsi="Times New Roman" w:cs="Times New Roman"/>
          <w:sz w:val="24"/>
          <w:szCs w:val="24"/>
        </w:rPr>
        <w:t>hat higher, providing more grounds for believing that 1919 was in fact somewhat below potential.</w:t>
      </w:r>
      <w:r w:rsidRPr="009F3FFE">
        <w:rPr>
          <w:rFonts w:ascii="Times New Roman" w:hAnsi="Times New Roman" w:cs="Times New Roman"/>
          <w:sz w:val="24"/>
          <w:szCs w:val="24"/>
        </w:rPr>
        <w:t xml:space="preserve"> </w:t>
      </w:r>
      <w:r>
        <w:rPr>
          <w:rFonts w:ascii="Times New Roman" w:hAnsi="Times New Roman" w:cs="Times New Roman"/>
          <w:sz w:val="24"/>
          <w:szCs w:val="24"/>
        </w:rPr>
        <w:t xml:space="preserve">The troubling aspect of 1923, however, remains </w:t>
      </w:r>
      <w:r w:rsidRPr="009F3FFE">
        <w:rPr>
          <w:rFonts w:ascii="Times New Roman" w:hAnsi="Times New Roman" w:cs="Times New Roman"/>
          <w:sz w:val="24"/>
          <w:szCs w:val="24"/>
        </w:rPr>
        <w:t>the un</w:t>
      </w:r>
      <w:r>
        <w:rPr>
          <w:rFonts w:ascii="Times New Roman" w:hAnsi="Times New Roman" w:cs="Times New Roman"/>
          <w:sz w:val="24"/>
          <w:szCs w:val="24"/>
        </w:rPr>
        <w:t>employment rate, 4.32 percent, which suggests</w:t>
      </w:r>
      <w:r w:rsidRPr="009F3FFE">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9F3FFE">
        <w:rPr>
          <w:rFonts w:ascii="Times New Roman" w:hAnsi="Times New Roman" w:cs="Times New Roman"/>
          <w:sz w:val="24"/>
          <w:szCs w:val="24"/>
        </w:rPr>
        <w:t xml:space="preserve">there was still some slack in the economy.  </w:t>
      </w:r>
    </w:p>
    <w:p w14:paraId="17358A16" w14:textId="77777777" w:rsidR="00E338DF" w:rsidRDefault="00364F39" w:rsidP="00F9781C">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F6530C">
        <w:rPr>
          <w:rFonts w:ascii="Times New Roman" w:hAnsi="Times New Roman" w:cs="Times New Roman"/>
          <w:sz w:val="24"/>
          <w:szCs w:val="24"/>
        </w:rPr>
        <w:t xml:space="preserve"> Finally, </w:t>
      </w:r>
      <w:r w:rsidR="00F6530C" w:rsidRPr="009F3FFE">
        <w:rPr>
          <w:rFonts w:ascii="Times New Roman" w:hAnsi="Times New Roman" w:cs="Times New Roman"/>
          <w:sz w:val="24"/>
          <w:szCs w:val="24"/>
        </w:rPr>
        <w:t>consider 1926.  The unemployment rate was 2.9 percent, virtually identical to</w:t>
      </w:r>
      <w:r w:rsidR="00F6530C">
        <w:rPr>
          <w:rFonts w:ascii="Times New Roman" w:hAnsi="Times New Roman" w:cs="Times New Roman"/>
          <w:sz w:val="24"/>
          <w:szCs w:val="24"/>
        </w:rPr>
        <w:t xml:space="preserve"> 1929, and like that year showing little evidence</w:t>
      </w:r>
      <w:r w:rsidR="00F6530C" w:rsidRPr="009F3FFE">
        <w:rPr>
          <w:rFonts w:ascii="Times New Roman" w:hAnsi="Times New Roman" w:cs="Times New Roman"/>
          <w:sz w:val="24"/>
          <w:szCs w:val="24"/>
        </w:rPr>
        <w:t xml:space="preserve"> of goods and ser</w:t>
      </w:r>
      <w:r w:rsidR="00F6530C">
        <w:rPr>
          <w:rFonts w:ascii="Times New Roman" w:hAnsi="Times New Roman" w:cs="Times New Roman"/>
          <w:sz w:val="24"/>
          <w:szCs w:val="24"/>
        </w:rPr>
        <w:t>vices price inflation</w:t>
      </w:r>
      <w:r w:rsidR="00F6530C" w:rsidRPr="009F3FFE">
        <w:rPr>
          <w:rFonts w:ascii="Times New Roman" w:hAnsi="Times New Roman" w:cs="Times New Roman"/>
          <w:sz w:val="24"/>
          <w:szCs w:val="24"/>
        </w:rPr>
        <w:t xml:space="preserve">. </w:t>
      </w:r>
      <w:r w:rsidR="00F6530C">
        <w:rPr>
          <w:rFonts w:ascii="Times New Roman" w:hAnsi="Times New Roman" w:cs="Times New Roman"/>
          <w:sz w:val="24"/>
          <w:szCs w:val="24"/>
        </w:rPr>
        <w:t xml:space="preserve">The combination of low unemployment and low inflation argues for this year as the best second benchmark, and I use it </w:t>
      </w:r>
      <w:r w:rsidR="00F6530C" w:rsidRPr="009F3FFE">
        <w:rPr>
          <w:rFonts w:ascii="Times New Roman" w:hAnsi="Times New Roman" w:cs="Times New Roman"/>
          <w:sz w:val="24"/>
          <w:szCs w:val="24"/>
        </w:rPr>
        <w:t>to calculate the trend growth rate of potential</w:t>
      </w:r>
      <w:r w:rsidR="00F6530C">
        <w:rPr>
          <w:rFonts w:ascii="Times New Roman" w:hAnsi="Times New Roman" w:cs="Times New Roman"/>
          <w:sz w:val="24"/>
          <w:szCs w:val="24"/>
        </w:rPr>
        <w:t>, and assume that potential</w:t>
      </w:r>
      <w:r w:rsidR="00F6530C" w:rsidRPr="009F3FFE">
        <w:rPr>
          <w:rFonts w:ascii="Times New Roman" w:hAnsi="Times New Roman" w:cs="Times New Roman"/>
          <w:sz w:val="24"/>
          <w:szCs w:val="24"/>
        </w:rPr>
        <w:t xml:space="preserve"> grew steadily at </w:t>
      </w:r>
      <w:r w:rsidR="00F6530C" w:rsidRPr="009F3FFE">
        <w:rPr>
          <w:rFonts w:ascii="Times New Roman" w:hAnsi="Times New Roman" w:cs="Times New Roman"/>
          <w:sz w:val="24"/>
          <w:szCs w:val="24"/>
        </w:rPr>
        <w:lastRenderedPageBreak/>
        <w:t xml:space="preserve">that rate between 1926 and 1929, as well as between 1919 and 1926.  </w:t>
      </w:r>
      <w:r w:rsidR="00F6530C">
        <w:rPr>
          <w:rFonts w:ascii="Times New Roman" w:hAnsi="Times New Roman" w:cs="Times New Roman"/>
          <w:sz w:val="24"/>
          <w:szCs w:val="24"/>
        </w:rPr>
        <w:t>Calculating b</w:t>
      </w:r>
      <w:r w:rsidR="00F6530C" w:rsidRPr="009F3FFE">
        <w:rPr>
          <w:rFonts w:ascii="Times New Roman" w:hAnsi="Times New Roman" w:cs="Times New Roman"/>
          <w:sz w:val="24"/>
          <w:szCs w:val="24"/>
        </w:rPr>
        <w:t>etween</w:t>
      </w:r>
      <w:r w:rsidR="00F6530C">
        <w:rPr>
          <w:rFonts w:ascii="Times New Roman" w:hAnsi="Times New Roman" w:cs="Times New Roman"/>
          <w:sz w:val="24"/>
          <w:szCs w:val="24"/>
        </w:rPr>
        <w:t xml:space="preserve"> 1926 and 1929 yields</w:t>
      </w:r>
      <w:r w:rsidR="00F6530C" w:rsidRPr="009F3FFE">
        <w:rPr>
          <w:rFonts w:ascii="Times New Roman" w:hAnsi="Times New Roman" w:cs="Times New Roman"/>
          <w:sz w:val="24"/>
          <w:szCs w:val="24"/>
        </w:rPr>
        <w:t xml:space="preserve"> a continuously compounded growth rate of 2.77 percent per year.</w:t>
      </w:r>
      <w:r w:rsidR="00F6530C">
        <w:rPr>
          <w:rFonts w:ascii="Times New Roman" w:hAnsi="Times New Roman" w:cs="Times New Roman"/>
          <w:sz w:val="24"/>
          <w:szCs w:val="24"/>
        </w:rPr>
        <w:t xml:space="preserve">  </w:t>
      </w:r>
      <w:r w:rsidR="00F6530C">
        <w:rPr>
          <w:rFonts w:ascii="Times New Roman" w:eastAsia="Times New Roman" w:hAnsi="Times New Roman" w:cs="Times New Roman"/>
          <w:sz w:val="24"/>
          <w:szCs w:val="24"/>
        </w:rPr>
        <w:t>This estimate of the growth rate of potential will also approximate the trend growth of actual, unless the size of the output gaps increase or decrease systematically over the course of the time period.</w:t>
      </w:r>
      <w:r w:rsidR="00C67C42">
        <w:rPr>
          <w:rFonts w:ascii="Times New Roman" w:eastAsia="Times New Roman" w:hAnsi="Times New Roman" w:cs="Times New Roman"/>
          <w:sz w:val="24"/>
          <w:szCs w:val="24"/>
        </w:rPr>
        <w:t xml:space="preserve">   </w:t>
      </w:r>
    </w:p>
    <w:p w14:paraId="198F5CDB" w14:textId="0F3C4BD3" w:rsidR="00C67C42" w:rsidRPr="009F3FFE" w:rsidRDefault="00C67C42" w:rsidP="00F9781C">
      <w:pPr>
        <w:spacing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We can now measur</w:t>
      </w:r>
      <w:r w:rsidRPr="009F3FFE">
        <w:rPr>
          <w:rFonts w:ascii="Times New Roman" w:eastAsia="Times New Roman" w:hAnsi="Times New Roman" w:cs="Times New Roman"/>
          <w:sz w:val="24"/>
          <w:szCs w:val="24"/>
        </w:rPr>
        <w:t xml:space="preserve">e the log differences between the average of </w:t>
      </w:r>
      <w:r>
        <w:rPr>
          <w:rFonts w:ascii="Times New Roman" w:eastAsia="Times New Roman" w:hAnsi="Times New Roman" w:cs="Times New Roman"/>
          <w:sz w:val="24"/>
          <w:szCs w:val="24"/>
        </w:rPr>
        <w:t xml:space="preserve">the </w:t>
      </w:r>
      <w:r w:rsidRPr="009F3FFE">
        <w:rPr>
          <w:rFonts w:ascii="Times New Roman" w:eastAsia="Times New Roman" w:hAnsi="Times New Roman" w:cs="Times New Roman"/>
          <w:sz w:val="24"/>
          <w:szCs w:val="24"/>
        </w:rPr>
        <w:t xml:space="preserve">Balke-Gordon and Romer estimates of actual </w:t>
      </w:r>
      <w:r>
        <w:rPr>
          <w:rFonts w:ascii="Times New Roman" w:eastAsia="Times New Roman" w:hAnsi="Times New Roman" w:cs="Times New Roman"/>
          <w:sz w:val="24"/>
          <w:szCs w:val="24"/>
        </w:rPr>
        <w:t xml:space="preserve">and these </w:t>
      </w:r>
      <w:r w:rsidRPr="009F3FFE">
        <w:rPr>
          <w:rFonts w:ascii="Times New Roman" w:eastAsia="Times New Roman" w:hAnsi="Times New Roman" w:cs="Times New Roman"/>
          <w:sz w:val="24"/>
          <w:szCs w:val="24"/>
        </w:rPr>
        <w:t>estimate</w:t>
      </w:r>
      <w:r>
        <w:rPr>
          <w:rFonts w:ascii="Times New Roman" w:eastAsia="Times New Roman" w:hAnsi="Times New Roman" w:cs="Times New Roman"/>
          <w:sz w:val="24"/>
          <w:szCs w:val="24"/>
        </w:rPr>
        <w:t>s</w:t>
      </w:r>
      <w:r w:rsidRPr="009F3FFE">
        <w:rPr>
          <w:rFonts w:ascii="Times New Roman" w:eastAsia="Times New Roman" w:hAnsi="Times New Roman" w:cs="Times New Roman"/>
          <w:sz w:val="24"/>
          <w:szCs w:val="24"/>
        </w:rPr>
        <w:t xml:space="preserve"> of potential yielding a series on deviations of actual output from potential in percentage terms.</w:t>
      </w:r>
      <w:r>
        <w:rPr>
          <w:rFonts w:ascii="Times New Roman" w:eastAsia="Times New Roman" w:hAnsi="Times New Roman" w:cs="Times New Roman"/>
          <w:sz w:val="24"/>
          <w:szCs w:val="24"/>
        </w:rPr>
        <w:t xml:space="preserve">  These calculations suggest 1919 output about 6.2 </w:t>
      </w:r>
      <w:r w:rsidRPr="009F3FFE">
        <w:rPr>
          <w:rFonts w:ascii="Times New Roman" w:eastAsia="Times New Roman" w:hAnsi="Times New Roman" w:cs="Times New Roman"/>
          <w:sz w:val="24"/>
          <w:szCs w:val="24"/>
        </w:rPr>
        <w:t>percent below potential, falling</w:t>
      </w:r>
      <w:r>
        <w:rPr>
          <w:rFonts w:ascii="Times New Roman" w:eastAsia="Times New Roman" w:hAnsi="Times New Roman" w:cs="Times New Roman"/>
          <w:sz w:val="24"/>
          <w:szCs w:val="24"/>
        </w:rPr>
        <w:t xml:space="preserve"> to 16.4 </w:t>
      </w:r>
      <w:r w:rsidRPr="009F3FFE">
        <w:rPr>
          <w:rFonts w:ascii="Times New Roman" w:eastAsia="Times New Roman" w:hAnsi="Times New Roman" w:cs="Times New Roman"/>
          <w:sz w:val="24"/>
          <w:szCs w:val="24"/>
        </w:rPr>
        <w:t>percent bel</w:t>
      </w:r>
      <w:r>
        <w:rPr>
          <w:rFonts w:ascii="Times New Roman" w:eastAsia="Times New Roman" w:hAnsi="Times New Roman" w:cs="Times New Roman"/>
          <w:sz w:val="24"/>
          <w:szCs w:val="24"/>
        </w:rPr>
        <w:t xml:space="preserve">ow potential in 1921, and then within 3.3 percent of potential each year </w:t>
      </w:r>
      <w:r w:rsidRPr="009F3FFE">
        <w:rPr>
          <w:rFonts w:ascii="Times New Roman" w:eastAsia="Times New Roman" w:hAnsi="Times New Roman" w:cs="Times New Roman"/>
          <w:sz w:val="24"/>
          <w:szCs w:val="24"/>
        </w:rPr>
        <w:t>between 1923 and 1929 (the above numbers all refer to log differences).</w:t>
      </w:r>
    </w:p>
    <w:p w14:paraId="2042BE68" w14:textId="56B738A6" w:rsidR="006E23C4" w:rsidRDefault="006E23C4" w:rsidP="006E23C4">
      <w:pPr>
        <w:spacing w:line="480" w:lineRule="auto"/>
        <w:rPr>
          <w:rFonts w:ascii="Times New Roman" w:eastAsia="Times New Roman" w:hAnsi="Times New Roman" w:cs="Times New Roman"/>
          <w:sz w:val="24"/>
          <w:szCs w:val="24"/>
        </w:rPr>
      </w:pPr>
    </w:p>
    <w:tbl>
      <w:tblPr>
        <w:tblW w:w="9360" w:type="dxa"/>
        <w:tblLook w:val="04A0" w:firstRow="1" w:lastRow="0" w:firstColumn="1" w:lastColumn="0" w:noHBand="0" w:noVBand="1"/>
      </w:tblPr>
      <w:tblGrid>
        <w:gridCol w:w="9360"/>
      </w:tblGrid>
      <w:tr w:rsidR="005371ED" w:rsidRPr="005365C4" w14:paraId="71DDAC01" w14:textId="77777777" w:rsidTr="00BA50B7">
        <w:trPr>
          <w:trHeight w:val="250"/>
        </w:trPr>
        <w:tc>
          <w:tcPr>
            <w:tcW w:w="9360" w:type="dxa"/>
            <w:tcBorders>
              <w:top w:val="nil"/>
              <w:left w:val="nil"/>
              <w:bottom w:val="nil"/>
              <w:right w:val="nil"/>
            </w:tcBorders>
            <w:shd w:val="clear" w:color="auto" w:fill="auto"/>
            <w:noWrap/>
            <w:hideMark/>
          </w:tcPr>
          <w:p w14:paraId="11704B47" w14:textId="762AAB42" w:rsidR="00603455" w:rsidRPr="009F3FFE" w:rsidRDefault="00046F74">
            <w:pPr>
              <w:spacing w:line="480" w:lineRule="auto"/>
              <w:ind w:firstLine="576"/>
              <w:rPr>
                <w:rFonts w:ascii="Times New Roman" w:hAnsi="Times New Roman" w:cs="Times New Roman"/>
                <w:sz w:val="24"/>
                <w:szCs w:val="24"/>
              </w:rPr>
            </w:pPr>
            <w:r w:rsidRPr="009F3FFE">
              <w:rPr>
                <w:rFonts w:ascii="Times New Roman" w:hAnsi="Times New Roman" w:cs="Times New Roman"/>
                <w:noProof/>
                <w:sz w:val="24"/>
                <w:szCs w:val="24"/>
              </w:rPr>
              <w:lastRenderedPageBreak/>
              <w:drawing>
                <wp:inline distT="0" distB="0" distL="0" distR="0" wp14:anchorId="5DF90666" wp14:editId="3F7B1A77">
                  <wp:extent cx="6350000" cy="4821936"/>
                  <wp:effectExtent l="0" t="0" r="12700" b="1714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6903F5" w14:textId="5EE9A476" w:rsidR="00A37FF0" w:rsidRDefault="001975D2">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 xml:space="preserve">A second </w:t>
            </w:r>
            <w:r w:rsidR="00FE7892" w:rsidRPr="009F3FFE">
              <w:rPr>
                <w:rFonts w:ascii="Times New Roman" w:hAnsi="Times New Roman" w:cs="Times New Roman"/>
                <w:sz w:val="24"/>
                <w:szCs w:val="24"/>
              </w:rPr>
              <w:t>approach to constructing a series on potential output and the varying size of the output gap is to use the Fe</w:t>
            </w:r>
            <w:r w:rsidRPr="009F3FFE">
              <w:rPr>
                <w:rFonts w:ascii="Times New Roman" w:hAnsi="Times New Roman" w:cs="Times New Roman"/>
                <w:sz w:val="24"/>
                <w:szCs w:val="24"/>
              </w:rPr>
              <w:t xml:space="preserve">d’s </w:t>
            </w:r>
            <w:r w:rsidR="00C44F5C">
              <w:rPr>
                <w:rFonts w:ascii="Times New Roman" w:hAnsi="Times New Roman" w:cs="Times New Roman"/>
                <w:sz w:val="24"/>
                <w:szCs w:val="24"/>
              </w:rPr>
              <w:t xml:space="preserve">seasonally adjusted </w:t>
            </w:r>
            <w:r w:rsidR="00A37FF0">
              <w:rPr>
                <w:rFonts w:ascii="Times New Roman" w:hAnsi="Times New Roman" w:cs="Times New Roman"/>
                <w:sz w:val="24"/>
                <w:szCs w:val="24"/>
              </w:rPr>
              <w:t>industrial production index.</w:t>
            </w:r>
            <w:r w:rsidRPr="009F3FFE">
              <w:rPr>
                <w:rFonts w:ascii="Times New Roman" w:hAnsi="Times New Roman" w:cs="Times New Roman"/>
                <w:sz w:val="24"/>
                <w:szCs w:val="24"/>
              </w:rPr>
              <w:t xml:space="preserve"> </w:t>
            </w:r>
            <w:r w:rsidR="000E2175">
              <w:rPr>
                <w:rFonts w:ascii="Times New Roman" w:hAnsi="Times New Roman" w:cs="Times New Roman"/>
                <w:sz w:val="24"/>
                <w:szCs w:val="24"/>
              </w:rPr>
              <w:t xml:space="preserve">The </w:t>
            </w:r>
            <w:r w:rsidR="00A37FF0" w:rsidRPr="009F3FFE">
              <w:rPr>
                <w:rFonts w:ascii="Times New Roman" w:hAnsi="Times New Roman" w:cs="Times New Roman"/>
                <w:sz w:val="24"/>
                <w:szCs w:val="24"/>
              </w:rPr>
              <w:t xml:space="preserve">advantage over Shaw </w:t>
            </w:r>
            <w:r w:rsidR="00A37FF0">
              <w:rPr>
                <w:rFonts w:ascii="Times New Roman" w:hAnsi="Times New Roman" w:cs="Times New Roman"/>
                <w:sz w:val="24"/>
                <w:szCs w:val="24"/>
              </w:rPr>
              <w:t xml:space="preserve">or the GNP estimates just discussed </w:t>
            </w:r>
            <w:r w:rsidR="000E2175">
              <w:rPr>
                <w:rFonts w:ascii="Times New Roman" w:hAnsi="Times New Roman" w:cs="Times New Roman"/>
                <w:sz w:val="24"/>
                <w:szCs w:val="24"/>
              </w:rPr>
              <w:t xml:space="preserve">is that </w:t>
            </w:r>
            <w:r w:rsidR="0049247A">
              <w:rPr>
                <w:rFonts w:ascii="Times New Roman" w:hAnsi="Times New Roman" w:cs="Times New Roman"/>
                <w:sz w:val="24"/>
                <w:szCs w:val="24"/>
              </w:rPr>
              <w:t>output data</w:t>
            </w:r>
            <w:r w:rsidR="000E2175">
              <w:rPr>
                <w:rFonts w:ascii="Times New Roman" w:hAnsi="Times New Roman" w:cs="Times New Roman"/>
                <w:sz w:val="24"/>
                <w:szCs w:val="24"/>
              </w:rPr>
              <w:t xml:space="preserve"> </w:t>
            </w:r>
            <w:r w:rsidR="00A37FF0" w:rsidRPr="009F3FFE">
              <w:rPr>
                <w:rFonts w:ascii="Times New Roman" w:hAnsi="Times New Roman" w:cs="Times New Roman"/>
                <w:sz w:val="24"/>
                <w:szCs w:val="24"/>
              </w:rPr>
              <w:t>is available, like interest rate and pric</w:t>
            </w:r>
            <w:r w:rsidR="000E2175">
              <w:rPr>
                <w:rFonts w:ascii="Times New Roman" w:hAnsi="Times New Roman" w:cs="Times New Roman"/>
                <w:sz w:val="24"/>
                <w:szCs w:val="24"/>
              </w:rPr>
              <w:t>e data, at</w:t>
            </w:r>
            <w:r w:rsidR="00A37FF0">
              <w:rPr>
                <w:rFonts w:ascii="Times New Roman" w:hAnsi="Times New Roman" w:cs="Times New Roman"/>
                <w:sz w:val="24"/>
                <w:szCs w:val="24"/>
              </w:rPr>
              <w:t xml:space="preserve"> a monthly frequency. Its </w:t>
            </w:r>
            <w:r w:rsidR="008D78ED">
              <w:rPr>
                <w:rFonts w:ascii="Times New Roman" w:hAnsi="Times New Roman" w:cs="Times New Roman"/>
                <w:sz w:val="24"/>
                <w:szCs w:val="24"/>
              </w:rPr>
              <w:t>disadvantage</w:t>
            </w:r>
            <w:r w:rsidR="0001345D" w:rsidRPr="009F3FFE">
              <w:rPr>
                <w:rFonts w:ascii="Times New Roman" w:hAnsi="Times New Roman" w:cs="Times New Roman"/>
                <w:sz w:val="24"/>
                <w:szCs w:val="24"/>
              </w:rPr>
              <w:t xml:space="preserve"> </w:t>
            </w:r>
            <w:r w:rsidR="002822E4">
              <w:rPr>
                <w:rFonts w:ascii="Times New Roman" w:hAnsi="Times New Roman" w:cs="Times New Roman"/>
                <w:sz w:val="24"/>
                <w:szCs w:val="24"/>
              </w:rPr>
              <w:t xml:space="preserve">is </w:t>
            </w:r>
            <w:r w:rsidR="0001345D" w:rsidRPr="009F3FFE">
              <w:rPr>
                <w:rFonts w:ascii="Times New Roman" w:hAnsi="Times New Roman" w:cs="Times New Roman"/>
                <w:sz w:val="24"/>
                <w:szCs w:val="24"/>
              </w:rPr>
              <w:t xml:space="preserve">that it </w:t>
            </w:r>
            <w:r w:rsidRPr="009F3FFE">
              <w:rPr>
                <w:rFonts w:ascii="Times New Roman" w:hAnsi="Times New Roman" w:cs="Times New Roman"/>
                <w:sz w:val="24"/>
                <w:szCs w:val="24"/>
              </w:rPr>
              <w:t xml:space="preserve">captures at best only a fraction of overall economic activity, albeit a fraction that was growing in the 1920s. </w:t>
            </w:r>
            <w:r w:rsidR="000668DE">
              <w:rPr>
                <w:rFonts w:ascii="Times New Roman" w:hAnsi="Times New Roman" w:cs="Times New Roman"/>
                <w:sz w:val="24"/>
                <w:szCs w:val="24"/>
              </w:rPr>
              <w:t>(</w:t>
            </w:r>
            <w:r w:rsidR="00643C44" w:rsidRPr="009F3FFE">
              <w:rPr>
                <w:rFonts w:ascii="Times New Roman" w:hAnsi="Times New Roman" w:cs="Times New Roman"/>
                <w:sz w:val="24"/>
                <w:szCs w:val="24"/>
              </w:rPr>
              <w:t>Romer (1989, p. 34</w:t>
            </w:r>
            <w:r w:rsidR="00ED234B" w:rsidRPr="009F3FFE">
              <w:rPr>
                <w:rFonts w:ascii="Times New Roman" w:hAnsi="Times New Roman" w:cs="Times New Roman"/>
                <w:sz w:val="24"/>
                <w:szCs w:val="24"/>
              </w:rPr>
              <w:t>)</w:t>
            </w:r>
            <w:r w:rsidR="00643C44" w:rsidRPr="009F3FFE">
              <w:rPr>
                <w:rFonts w:ascii="Times New Roman" w:hAnsi="Times New Roman" w:cs="Times New Roman"/>
                <w:sz w:val="24"/>
                <w:szCs w:val="24"/>
              </w:rPr>
              <w:t xml:space="preserve"> also notes that unlike the </w:t>
            </w:r>
            <w:r w:rsidR="00ED234B" w:rsidRPr="009F3FFE">
              <w:rPr>
                <w:rFonts w:ascii="Times New Roman" w:hAnsi="Times New Roman" w:cs="Times New Roman"/>
                <w:sz w:val="24"/>
                <w:szCs w:val="24"/>
              </w:rPr>
              <w:t>Shaw commodity output series, the Fed’s series does not include non</w:t>
            </w:r>
            <w:r w:rsidR="00A37FF0">
              <w:rPr>
                <w:rFonts w:ascii="Times New Roman" w:hAnsi="Times New Roman" w:cs="Times New Roman"/>
                <w:sz w:val="24"/>
                <w:szCs w:val="24"/>
              </w:rPr>
              <w:t>-</w:t>
            </w:r>
            <w:r w:rsidR="00ED234B" w:rsidRPr="009F3FFE">
              <w:rPr>
                <w:rFonts w:ascii="Times New Roman" w:hAnsi="Times New Roman" w:cs="Times New Roman"/>
                <w:sz w:val="24"/>
                <w:szCs w:val="24"/>
              </w:rPr>
              <w:t>manufa</w:t>
            </w:r>
            <w:r w:rsidR="000668DE">
              <w:rPr>
                <w:rFonts w:ascii="Times New Roman" w:hAnsi="Times New Roman" w:cs="Times New Roman"/>
                <w:sz w:val="24"/>
                <w:szCs w:val="24"/>
              </w:rPr>
              <w:t>ctured agricultural commodities).</w:t>
            </w:r>
            <w:r w:rsidR="00ED234B" w:rsidRPr="009F3FFE">
              <w:rPr>
                <w:rFonts w:ascii="Times New Roman" w:hAnsi="Times New Roman" w:cs="Times New Roman"/>
                <w:sz w:val="24"/>
                <w:szCs w:val="24"/>
              </w:rPr>
              <w:t xml:space="preserve">  </w:t>
            </w:r>
          </w:p>
          <w:p w14:paraId="16144046" w14:textId="2C164815" w:rsidR="00085FB6" w:rsidRPr="009F3FFE" w:rsidRDefault="00085FB6">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lastRenderedPageBreak/>
              <w:t>The industrial production series peaks in January of 1920, and also in August of 1929.  If one assumes that the economy was at potential during each of these months, o</w:t>
            </w:r>
            <w:r w:rsidR="001975D2" w:rsidRPr="009F3FFE">
              <w:rPr>
                <w:rFonts w:ascii="Times New Roman" w:hAnsi="Times New Roman" w:cs="Times New Roman"/>
                <w:sz w:val="24"/>
                <w:szCs w:val="24"/>
              </w:rPr>
              <w:t>ne calculates a continuously co</w:t>
            </w:r>
            <w:r w:rsidR="00A37FF0">
              <w:rPr>
                <w:rFonts w:ascii="Times New Roman" w:hAnsi="Times New Roman" w:cs="Times New Roman"/>
                <w:sz w:val="24"/>
                <w:szCs w:val="24"/>
              </w:rPr>
              <w:t>mpounded growth rate of .</w:t>
            </w:r>
            <w:r w:rsidRPr="009F3FFE">
              <w:rPr>
                <w:rFonts w:ascii="Times New Roman" w:hAnsi="Times New Roman" w:cs="Times New Roman"/>
                <w:sz w:val="24"/>
                <w:szCs w:val="24"/>
              </w:rPr>
              <w:t>302 percent per month, o</w:t>
            </w:r>
            <w:r w:rsidR="00A37FF0">
              <w:rPr>
                <w:rFonts w:ascii="Times New Roman" w:hAnsi="Times New Roman" w:cs="Times New Roman"/>
                <w:sz w:val="24"/>
                <w:szCs w:val="24"/>
              </w:rPr>
              <w:t xml:space="preserve">r </w:t>
            </w:r>
            <w:r w:rsidR="001975D2" w:rsidRPr="009F3FFE">
              <w:rPr>
                <w:rFonts w:ascii="Times New Roman" w:hAnsi="Times New Roman" w:cs="Times New Roman"/>
                <w:sz w:val="24"/>
                <w:szCs w:val="24"/>
              </w:rPr>
              <w:t>3</w:t>
            </w:r>
            <w:r w:rsidR="00A37FF0">
              <w:rPr>
                <w:rFonts w:ascii="Times New Roman" w:hAnsi="Times New Roman" w:cs="Times New Roman"/>
                <w:sz w:val="24"/>
                <w:szCs w:val="24"/>
              </w:rPr>
              <w:t>.</w:t>
            </w:r>
            <w:r w:rsidR="001975D2" w:rsidRPr="009F3FFE">
              <w:rPr>
                <w:rFonts w:ascii="Times New Roman" w:hAnsi="Times New Roman" w:cs="Times New Roman"/>
                <w:sz w:val="24"/>
                <w:szCs w:val="24"/>
              </w:rPr>
              <w:t>63 percent per year.  Indu</w:t>
            </w:r>
            <w:r w:rsidRPr="009F3FFE">
              <w:rPr>
                <w:rFonts w:ascii="Times New Roman" w:hAnsi="Times New Roman" w:cs="Times New Roman"/>
                <w:sz w:val="24"/>
                <w:szCs w:val="24"/>
              </w:rPr>
              <w:t>strial production also peaks in May of 1923.  If one measures from there to August of 1929, one has growth at</w:t>
            </w:r>
            <w:r w:rsidR="00A37FF0">
              <w:rPr>
                <w:rFonts w:ascii="Times New Roman" w:hAnsi="Times New Roman" w:cs="Times New Roman"/>
                <w:sz w:val="24"/>
                <w:szCs w:val="24"/>
              </w:rPr>
              <w:t xml:space="preserve"> .313 per month or 3.</w:t>
            </w:r>
            <w:r w:rsidRPr="009F3FFE">
              <w:rPr>
                <w:rFonts w:ascii="Times New Roman" w:hAnsi="Times New Roman" w:cs="Times New Roman"/>
                <w:sz w:val="24"/>
                <w:szCs w:val="24"/>
              </w:rPr>
              <w:t>7</w:t>
            </w:r>
            <w:r w:rsidR="00A37FF0">
              <w:rPr>
                <w:rFonts w:ascii="Times New Roman" w:hAnsi="Times New Roman" w:cs="Times New Roman"/>
                <w:sz w:val="24"/>
                <w:szCs w:val="24"/>
              </w:rPr>
              <w:t>6 annually, very similar.</w:t>
            </w:r>
            <w:r w:rsidRPr="009F3FFE">
              <w:rPr>
                <w:rFonts w:ascii="Times New Roman" w:hAnsi="Times New Roman" w:cs="Times New Roman"/>
                <w:sz w:val="24"/>
                <w:szCs w:val="24"/>
              </w:rPr>
              <w:t xml:space="preserve"> </w:t>
            </w:r>
            <w:r w:rsidR="00C371A0" w:rsidRPr="009F3FFE">
              <w:rPr>
                <w:rFonts w:ascii="Times New Roman" w:hAnsi="Times New Roman" w:cs="Times New Roman"/>
                <w:sz w:val="24"/>
                <w:szCs w:val="24"/>
              </w:rPr>
              <w:t xml:space="preserve">My choice </w:t>
            </w:r>
            <w:r w:rsidR="002822E4">
              <w:rPr>
                <w:rFonts w:ascii="Times New Roman" w:hAnsi="Times New Roman" w:cs="Times New Roman"/>
                <w:sz w:val="24"/>
                <w:szCs w:val="24"/>
              </w:rPr>
              <w:t>is</w:t>
            </w:r>
            <w:r w:rsidR="00C371A0" w:rsidRPr="009F3FFE">
              <w:rPr>
                <w:rFonts w:ascii="Times New Roman" w:hAnsi="Times New Roman" w:cs="Times New Roman"/>
                <w:sz w:val="24"/>
                <w:szCs w:val="24"/>
              </w:rPr>
              <w:t xml:space="preserve"> to take January of 1920 and August of 1929 as benchmark </w:t>
            </w:r>
            <w:r w:rsidR="00A37FF0">
              <w:rPr>
                <w:rFonts w:ascii="Times New Roman" w:hAnsi="Times New Roman" w:cs="Times New Roman"/>
                <w:sz w:val="24"/>
                <w:szCs w:val="24"/>
              </w:rPr>
              <w:t xml:space="preserve">months at which the economy is </w:t>
            </w:r>
            <w:r w:rsidR="00C371A0" w:rsidRPr="009F3FFE">
              <w:rPr>
                <w:rFonts w:ascii="Times New Roman" w:hAnsi="Times New Roman" w:cs="Times New Roman"/>
                <w:sz w:val="24"/>
                <w:szCs w:val="24"/>
              </w:rPr>
              <w:t>at potential, and assume that potential industrial production grew at a constant continuously compound</w:t>
            </w:r>
            <w:r w:rsidR="000E2175">
              <w:rPr>
                <w:rFonts w:ascii="Times New Roman" w:hAnsi="Times New Roman" w:cs="Times New Roman"/>
                <w:sz w:val="24"/>
                <w:szCs w:val="24"/>
              </w:rPr>
              <w:t>ed rate between these months as well as</w:t>
            </w:r>
            <w:r w:rsidR="00C371A0" w:rsidRPr="009F3FFE">
              <w:rPr>
                <w:rFonts w:ascii="Times New Roman" w:hAnsi="Times New Roman" w:cs="Times New Roman"/>
                <w:sz w:val="24"/>
                <w:szCs w:val="24"/>
              </w:rPr>
              <w:t xml:space="preserve"> between Janu</w:t>
            </w:r>
            <w:r w:rsidR="002822E4">
              <w:rPr>
                <w:rFonts w:ascii="Times New Roman" w:hAnsi="Times New Roman" w:cs="Times New Roman"/>
                <w:sz w:val="24"/>
                <w:szCs w:val="24"/>
              </w:rPr>
              <w:t>ary of 1919 and January of 1920 and between August and December of 1929.</w:t>
            </w:r>
            <w:r w:rsidR="008D78ED">
              <w:rPr>
                <w:rFonts w:ascii="Times New Roman" w:hAnsi="Times New Roman" w:cs="Times New Roman"/>
                <w:sz w:val="24"/>
                <w:szCs w:val="24"/>
              </w:rPr>
              <w:t xml:space="preserve"> </w:t>
            </w:r>
            <w:r w:rsidRPr="009F3FFE">
              <w:rPr>
                <w:rFonts w:ascii="Times New Roman" w:hAnsi="Times New Roman" w:cs="Times New Roman"/>
                <w:sz w:val="24"/>
                <w:szCs w:val="24"/>
              </w:rPr>
              <w:t xml:space="preserve"> </w:t>
            </w:r>
            <w:r w:rsidR="0001345D" w:rsidRPr="009F3FFE">
              <w:rPr>
                <w:rFonts w:ascii="Times New Roman" w:hAnsi="Times New Roman" w:cs="Times New Roman"/>
                <w:sz w:val="24"/>
                <w:szCs w:val="24"/>
              </w:rPr>
              <w:t>In none of these three months of industrial production peaks is there evidence of a</w:t>
            </w:r>
            <w:r w:rsidR="00BD6E45">
              <w:rPr>
                <w:rFonts w:ascii="Times New Roman" w:hAnsi="Times New Roman" w:cs="Times New Roman"/>
                <w:sz w:val="24"/>
                <w:szCs w:val="24"/>
              </w:rPr>
              <w:t xml:space="preserve">n acceleration of or </w:t>
            </w:r>
            <w:r w:rsidR="0001345D" w:rsidRPr="009F3FFE">
              <w:rPr>
                <w:rFonts w:ascii="Times New Roman" w:hAnsi="Times New Roman" w:cs="Times New Roman"/>
                <w:sz w:val="24"/>
                <w:szCs w:val="24"/>
              </w:rPr>
              <w:t>sudden spike in the inflation rates (see</w:t>
            </w:r>
            <w:r w:rsidR="00BD6E45">
              <w:rPr>
                <w:rFonts w:ascii="Times New Roman" w:hAnsi="Times New Roman" w:cs="Times New Roman"/>
                <w:sz w:val="24"/>
                <w:szCs w:val="24"/>
              </w:rPr>
              <w:t xml:space="preserve"> discussion on inflation data</w:t>
            </w:r>
            <w:r w:rsidR="0001345D" w:rsidRPr="009F3FFE">
              <w:rPr>
                <w:rFonts w:ascii="Times New Roman" w:hAnsi="Times New Roman" w:cs="Times New Roman"/>
                <w:sz w:val="24"/>
                <w:szCs w:val="24"/>
              </w:rPr>
              <w:t xml:space="preserve"> below).</w:t>
            </w:r>
            <w:r w:rsidR="00C371A0" w:rsidRPr="009F3FFE">
              <w:rPr>
                <w:rFonts w:ascii="Times New Roman" w:hAnsi="Times New Roman" w:cs="Times New Roman"/>
                <w:sz w:val="24"/>
                <w:szCs w:val="24"/>
              </w:rPr>
              <w:t xml:space="preserve">  </w:t>
            </w:r>
          </w:p>
          <w:p w14:paraId="6005B929" w14:textId="122B989B" w:rsidR="00AB0D97" w:rsidRPr="009F3FFE" w:rsidRDefault="00085FB6">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 xml:space="preserve">Both of these measured </w:t>
            </w:r>
            <w:r w:rsidR="00C371A0" w:rsidRPr="009F3FFE">
              <w:rPr>
                <w:rFonts w:ascii="Times New Roman" w:hAnsi="Times New Roman" w:cs="Times New Roman"/>
                <w:sz w:val="24"/>
                <w:szCs w:val="24"/>
              </w:rPr>
              <w:t xml:space="preserve">growth </w:t>
            </w:r>
            <w:r w:rsidRPr="009F3FFE">
              <w:rPr>
                <w:rFonts w:ascii="Times New Roman" w:hAnsi="Times New Roman" w:cs="Times New Roman"/>
                <w:sz w:val="24"/>
                <w:szCs w:val="24"/>
              </w:rPr>
              <w:t xml:space="preserve">rates </w:t>
            </w:r>
            <w:r w:rsidR="008D78ED">
              <w:rPr>
                <w:rFonts w:ascii="Times New Roman" w:hAnsi="Times New Roman" w:cs="Times New Roman"/>
                <w:sz w:val="24"/>
                <w:szCs w:val="24"/>
              </w:rPr>
              <w:t xml:space="preserve">(from May of 1923 or from January of 1920) </w:t>
            </w:r>
            <w:r w:rsidRPr="009F3FFE">
              <w:rPr>
                <w:rFonts w:ascii="Times New Roman" w:hAnsi="Times New Roman" w:cs="Times New Roman"/>
                <w:sz w:val="24"/>
                <w:szCs w:val="24"/>
              </w:rPr>
              <w:t>are somewhat higher than the long run growth rate of the US economy, and higher than those suggested using annual GNP data.  The explanation is</w:t>
            </w:r>
            <w:r w:rsidR="000E2175">
              <w:rPr>
                <w:rFonts w:ascii="Times New Roman" w:hAnsi="Times New Roman" w:cs="Times New Roman"/>
                <w:sz w:val="24"/>
                <w:szCs w:val="24"/>
              </w:rPr>
              <w:t xml:space="preserve"> to be</w:t>
            </w:r>
            <w:r w:rsidRPr="009F3FFE">
              <w:rPr>
                <w:rFonts w:ascii="Times New Roman" w:hAnsi="Times New Roman" w:cs="Times New Roman"/>
                <w:sz w:val="24"/>
                <w:szCs w:val="24"/>
              </w:rPr>
              <w:t xml:space="preserve"> found in </w:t>
            </w:r>
            <w:r w:rsidR="001975D2" w:rsidRPr="009F3FFE">
              <w:rPr>
                <w:rFonts w:ascii="Times New Roman" w:hAnsi="Times New Roman" w:cs="Times New Roman"/>
                <w:sz w:val="24"/>
                <w:szCs w:val="24"/>
              </w:rPr>
              <w:t>the growing</w:t>
            </w:r>
            <w:r w:rsidR="00B31BEC" w:rsidRPr="009F3FFE">
              <w:rPr>
                <w:rFonts w:ascii="Times New Roman" w:hAnsi="Times New Roman" w:cs="Times New Roman"/>
                <w:sz w:val="24"/>
                <w:szCs w:val="24"/>
              </w:rPr>
              <w:t xml:space="preserve"> </w:t>
            </w:r>
            <w:r w:rsidRPr="009F3FFE">
              <w:rPr>
                <w:rFonts w:ascii="Times New Roman" w:hAnsi="Times New Roman" w:cs="Times New Roman"/>
                <w:sz w:val="24"/>
                <w:szCs w:val="24"/>
              </w:rPr>
              <w:t xml:space="preserve">relative size of the manufacturing sector over the course of the decade.  </w:t>
            </w:r>
            <w:r w:rsidR="00B31BEC" w:rsidRPr="009F3FFE">
              <w:rPr>
                <w:rFonts w:ascii="Times New Roman" w:hAnsi="Times New Roman" w:cs="Times New Roman"/>
                <w:sz w:val="24"/>
                <w:szCs w:val="24"/>
              </w:rPr>
              <w:t>This is not necessarily a</w:t>
            </w:r>
            <w:r w:rsidR="008D78ED">
              <w:rPr>
                <w:rFonts w:ascii="Times New Roman" w:hAnsi="Times New Roman" w:cs="Times New Roman"/>
                <w:sz w:val="24"/>
                <w:szCs w:val="24"/>
              </w:rPr>
              <w:t xml:space="preserve"> fatal objection, however,</w:t>
            </w:r>
            <w:r w:rsidR="000E2175">
              <w:rPr>
                <w:rFonts w:ascii="Times New Roman" w:hAnsi="Times New Roman" w:cs="Times New Roman"/>
                <w:sz w:val="24"/>
                <w:szCs w:val="24"/>
              </w:rPr>
              <w:t xml:space="preserve"> given the aim</w:t>
            </w:r>
            <w:r w:rsidR="000668DE">
              <w:rPr>
                <w:rFonts w:ascii="Times New Roman" w:hAnsi="Times New Roman" w:cs="Times New Roman"/>
                <w:sz w:val="24"/>
                <w:szCs w:val="24"/>
              </w:rPr>
              <w:t>s here</w:t>
            </w:r>
            <w:r w:rsidR="00A37FF0">
              <w:rPr>
                <w:rFonts w:ascii="Times New Roman" w:hAnsi="Times New Roman" w:cs="Times New Roman"/>
                <w:sz w:val="24"/>
                <w:szCs w:val="24"/>
              </w:rPr>
              <w:t>.</w:t>
            </w:r>
            <w:r w:rsidR="008D78ED">
              <w:rPr>
                <w:rFonts w:ascii="Times New Roman" w:hAnsi="Times New Roman" w:cs="Times New Roman"/>
                <w:sz w:val="24"/>
                <w:szCs w:val="24"/>
              </w:rPr>
              <w:t xml:space="preserve"> </w:t>
            </w:r>
            <w:r w:rsidR="00A37FF0">
              <w:rPr>
                <w:rFonts w:ascii="Times New Roman" w:hAnsi="Times New Roman" w:cs="Times New Roman"/>
                <w:sz w:val="24"/>
                <w:szCs w:val="24"/>
              </w:rPr>
              <w:t xml:space="preserve">We wish to use </w:t>
            </w:r>
            <w:r w:rsidR="001975D2" w:rsidRPr="009F3FFE">
              <w:rPr>
                <w:rFonts w:ascii="Times New Roman" w:hAnsi="Times New Roman" w:cs="Times New Roman"/>
                <w:sz w:val="24"/>
                <w:szCs w:val="24"/>
              </w:rPr>
              <w:t xml:space="preserve">the industrial production data to </w:t>
            </w:r>
            <w:r w:rsidR="00C371A0" w:rsidRPr="009F3FFE">
              <w:rPr>
                <w:rFonts w:ascii="Times New Roman" w:hAnsi="Times New Roman" w:cs="Times New Roman"/>
                <w:sz w:val="24"/>
                <w:szCs w:val="24"/>
              </w:rPr>
              <w:t xml:space="preserve">develop </w:t>
            </w:r>
            <w:r w:rsidR="00B31BEC" w:rsidRPr="009F3FFE">
              <w:rPr>
                <w:rFonts w:ascii="Times New Roman" w:hAnsi="Times New Roman" w:cs="Times New Roman"/>
                <w:sz w:val="24"/>
                <w:szCs w:val="24"/>
              </w:rPr>
              <w:t xml:space="preserve">a monthly measure of the output gap.  The more </w:t>
            </w:r>
            <w:r w:rsidR="008D78ED">
              <w:rPr>
                <w:rFonts w:ascii="Times New Roman" w:hAnsi="Times New Roman" w:cs="Times New Roman"/>
                <w:sz w:val="24"/>
                <w:szCs w:val="24"/>
              </w:rPr>
              <w:t>important</w:t>
            </w:r>
            <w:r w:rsidR="00B31BEC" w:rsidRPr="009F3FFE">
              <w:rPr>
                <w:rFonts w:ascii="Times New Roman" w:hAnsi="Times New Roman" w:cs="Times New Roman"/>
                <w:sz w:val="24"/>
                <w:szCs w:val="24"/>
              </w:rPr>
              <w:t xml:space="preserve"> concern</w:t>
            </w:r>
            <w:r w:rsidR="00552406" w:rsidRPr="009F3FFE">
              <w:rPr>
                <w:rFonts w:ascii="Times New Roman" w:hAnsi="Times New Roman" w:cs="Times New Roman"/>
                <w:sz w:val="24"/>
                <w:szCs w:val="24"/>
              </w:rPr>
              <w:t xml:space="preserve">, aside from the fact that </w:t>
            </w:r>
            <w:r w:rsidR="00B31BEC" w:rsidRPr="009F3FFE">
              <w:rPr>
                <w:rFonts w:ascii="Times New Roman" w:hAnsi="Times New Roman" w:cs="Times New Roman"/>
                <w:sz w:val="24"/>
                <w:szCs w:val="24"/>
              </w:rPr>
              <w:t>industrial production covers only a fraction of the economy</w:t>
            </w:r>
            <w:r w:rsidR="00C371A0" w:rsidRPr="009F3FFE">
              <w:rPr>
                <w:rFonts w:ascii="Times New Roman" w:hAnsi="Times New Roman" w:cs="Times New Roman"/>
                <w:sz w:val="24"/>
                <w:szCs w:val="24"/>
              </w:rPr>
              <w:t>, i</w:t>
            </w:r>
            <w:r w:rsidR="00552406" w:rsidRPr="009F3FFE">
              <w:rPr>
                <w:rFonts w:ascii="Times New Roman" w:hAnsi="Times New Roman" w:cs="Times New Roman"/>
                <w:sz w:val="24"/>
                <w:szCs w:val="24"/>
              </w:rPr>
              <w:t xml:space="preserve">s that it is </w:t>
            </w:r>
            <w:r w:rsidR="00B31BEC" w:rsidRPr="009F3FFE">
              <w:rPr>
                <w:rFonts w:ascii="Times New Roman" w:hAnsi="Times New Roman" w:cs="Times New Roman"/>
                <w:sz w:val="24"/>
                <w:szCs w:val="24"/>
              </w:rPr>
              <w:t>known to vary more widely than GNP itself</w:t>
            </w:r>
            <w:r w:rsidR="00C371A0" w:rsidRPr="009F3FFE">
              <w:rPr>
                <w:rFonts w:ascii="Times New Roman" w:hAnsi="Times New Roman" w:cs="Times New Roman"/>
                <w:sz w:val="24"/>
                <w:szCs w:val="24"/>
              </w:rPr>
              <w:t>, which brings us back to Romer and Kuznets</w:t>
            </w:r>
            <w:r w:rsidR="00B31BEC" w:rsidRPr="009F3FFE">
              <w:rPr>
                <w:rFonts w:ascii="Times New Roman" w:hAnsi="Times New Roman" w:cs="Times New Roman"/>
                <w:sz w:val="24"/>
                <w:szCs w:val="24"/>
              </w:rPr>
              <w:t xml:space="preserve">.  </w:t>
            </w:r>
          </w:p>
          <w:p w14:paraId="7E25B23B" w14:textId="64CE696D" w:rsidR="00C72220" w:rsidRDefault="007F2B53">
            <w:pPr>
              <w:spacing w:line="48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C371A0" w:rsidRPr="009F3FFE">
              <w:rPr>
                <w:rFonts w:ascii="Times New Roman" w:hAnsi="Times New Roman" w:cs="Times New Roman"/>
                <w:sz w:val="24"/>
                <w:szCs w:val="24"/>
              </w:rPr>
              <w:t>In estimating the elasticity of GNP with respect to fluctuations in industrial production, Romer ran a trend through “normal” years and calculated deviations of actual output, roughly</w:t>
            </w:r>
            <w:r w:rsidR="008D78ED">
              <w:rPr>
                <w:rFonts w:ascii="Times New Roman" w:hAnsi="Times New Roman" w:cs="Times New Roman"/>
                <w:sz w:val="24"/>
                <w:szCs w:val="24"/>
              </w:rPr>
              <w:t xml:space="preserve"> symmetrical, both above and below</w:t>
            </w:r>
            <w:r w:rsidR="00C371A0" w:rsidRPr="009F3FFE">
              <w:rPr>
                <w:rFonts w:ascii="Times New Roman" w:hAnsi="Times New Roman" w:cs="Times New Roman"/>
                <w:sz w:val="24"/>
                <w:szCs w:val="24"/>
              </w:rPr>
              <w:t xml:space="preserve">.  </w:t>
            </w:r>
            <w:r w:rsidR="00AB0D97" w:rsidRPr="009F3FFE">
              <w:rPr>
                <w:rFonts w:ascii="Times New Roman" w:hAnsi="Times New Roman" w:cs="Times New Roman"/>
                <w:sz w:val="24"/>
                <w:szCs w:val="24"/>
              </w:rPr>
              <w:t xml:space="preserve">What I am after is not exactly the same.  </w:t>
            </w:r>
            <w:r w:rsidR="00E84921">
              <w:rPr>
                <w:rFonts w:ascii="Times New Roman" w:hAnsi="Times New Roman" w:cs="Times New Roman"/>
                <w:sz w:val="24"/>
                <w:szCs w:val="24"/>
              </w:rPr>
              <w:t xml:space="preserve">Again, </w:t>
            </w:r>
            <w:r w:rsidR="00E84921">
              <w:rPr>
                <w:rFonts w:ascii="Times New Roman" w:hAnsi="Times New Roman" w:cs="Times New Roman"/>
                <w:sz w:val="24"/>
                <w:szCs w:val="24"/>
              </w:rPr>
              <w:lastRenderedPageBreak/>
              <w:t xml:space="preserve">endorsing the Friedman </w:t>
            </w:r>
            <w:r w:rsidR="005365C4">
              <w:rPr>
                <w:rFonts w:ascii="Times New Roman" w:hAnsi="Times New Roman" w:cs="Times New Roman"/>
                <w:sz w:val="24"/>
                <w:szCs w:val="24"/>
              </w:rPr>
              <w:t>view</w:t>
            </w:r>
            <w:r w:rsidR="00E84921">
              <w:rPr>
                <w:rFonts w:ascii="Times New Roman" w:hAnsi="Times New Roman" w:cs="Times New Roman"/>
                <w:sz w:val="24"/>
                <w:szCs w:val="24"/>
              </w:rPr>
              <w:t xml:space="preserve"> of the cycle, </w:t>
            </w:r>
            <w:r w:rsidR="00AB0D97" w:rsidRPr="009F3FFE">
              <w:rPr>
                <w:rFonts w:ascii="Times New Roman" w:hAnsi="Times New Roman" w:cs="Times New Roman"/>
                <w:sz w:val="24"/>
                <w:szCs w:val="24"/>
              </w:rPr>
              <w:t xml:space="preserve">I am </w:t>
            </w:r>
            <w:r w:rsidR="00C371A0" w:rsidRPr="009F3FFE">
              <w:rPr>
                <w:rFonts w:ascii="Times New Roman" w:hAnsi="Times New Roman" w:cs="Times New Roman"/>
                <w:sz w:val="24"/>
                <w:szCs w:val="24"/>
              </w:rPr>
              <w:t xml:space="preserve">interested in </w:t>
            </w:r>
            <w:r w:rsidR="00AB0D97" w:rsidRPr="009F3FFE">
              <w:rPr>
                <w:rFonts w:ascii="Times New Roman" w:hAnsi="Times New Roman" w:cs="Times New Roman"/>
                <w:sz w:val="24"/>
                <w:szCs w:val="24"/>
              </w:rPr>
              <w:t xml:space="preserve">deviations from potential, </w:t>
            </w:r>
            <w:r w:rsidR="00C371A0" w:rsidRPr="009F3FFE">
              <w:rPr>
                <w:rFonts w:ascii="Times New Roman" w:hAnsi="Times New Roman" w:cs="Times New Roman"/>
                <w:sz w:val="24"/>
                <w:szCs w:val="24"/>
              </w:rPr>
              <w:t xml:space="preserve">mostly in the downward direction, </w:t>
            </w:r>
            <w:r w:rsidR="00AB0D97" w:rsidRPr="009F3FFE">
              <w:rPr>
                <w:rFonts w:ascii="Times New Roman" w:hAnsi="Times New Roman" w:cs="Times New Roman"/>
                <w:sz w:val="24"/>
                <w:szCs w:val="24"/>
              </w:rPr>
              <w:t>where poten</w:t>
            </w:r>
            <w:r w:rsidR="008D78ED">
              <w:rPr>
                <w:rFonts w:ascii="Times New Roman" w:hAnsi="Times New Roman" w:cs="Times New Roman"/>
                <w:sz w:val="24"/>
                <w:szCs w:val="24"/>
              </w:rPr>
              <w:t xml:space="preserve">tial output is viewed as a </w:t>
            </w:r>
            <w:r w:rsidR="00AB0D97" w:rsidRPr="009F3FFE">
              <w:rPr>
                <w:rFonts w:ascii="Times New Roman" w:hAnsi="Times New Roman" w:cs="Times New Roman"/>
                <w:sz w:val="24"/>
                <w:szCs w:val="24"/>
              </w:rPr>
              <w:t>ceiling to production</w:t>
            </w:r>
            <w:r w:rsidR="008D78ED">
              <w:rPr>
                <w:rFonts w:ascii="Times New Roman" w:hAnsi="Times New Roman" w:cs="Times New Roman"/>
                <w:sz w:val="24"/>
                <w:szCs w:val="24"/>
              </w:rPr>
              <w:t xml:space="preserve"> at any moment in time established by aggregate supply conditions, one</w:t>
            </w:r>
            <w:r w:rsidR="005D3F73">
              <w:rPr>
                <w:rFonts w:ascii="Times New Roman" w:hAnsi="Times New Roman" w:cs="Times New Roman"/>
                <w:sz w:val="24"/>
                <w:szCs w:val="24"/>
              </w:rPr>
              <w:t xml:space="preserve"> exce</w:t>
            </w:r>
            <w:r w:rsidR="0049247A">
              <w:rPr>
                <w:rFonts w:ascii="Times New Roman" w:hAnsi="Times New Roman" w:cs="Times New Roman"/>
                <w:sz w:val="24"/>
                <w:szCs w:val="24"/>
              </w:rPr>
              <w:t>e</w:t>
            </w:r>
            <w:r w:rsidR="005D3F73">
              <w:rPr>
                <w:rFonts w:ascii="Times New Roman" w:hAnsi="Times New Roman" w:cs="Times New Roman"/>
                <w:sz w:val="24"/>
                <w:szCs w:val="24"/>
              </w:rPr>
              <w:t>d</w:t>
            </w:r>
            <w:r w:rsidR="00AB0D97" w:rsidRPr="009F3FFE">
              <w:rPr>
                <w:rFonts w:ascii="Times New Roman" w:hAnsi="Times New Roman" w:cs="Times New Roman"/>
                <w:sz w:val="24"/>
                <w:szCs w:val="24"/>
              </w:rPr>
              <w:t>able in the short run only through a sufficiently strong aggregate demand stimulus that r</w:t>
            </w:r>
            <w:r w:rsidR="00C371A0" w:rsidRPr="009F3FFE">
              <w:rPr>
                <w:rFonts w:ascii="Times New Roman" w:hAnsi="Times New Roman" w:cs="Times New Roman"/>
                <w:sz w:val="24"/>
                <w:szCs w:val="24"/>
              </w:rPr>
              <w:t>esults in an acceleration of inflation</w:t>
            </w:r>
            <w:r w:rsidR="009D1923">
              <w:rPr>
                <w:rFonts w:ascii="Times New Roman" w:hAnsi="Times New Roman" w:cs="Times New Roman"/>
                <w:sz w:val="24"/>
                <w:szCs w:val="24"/>
              </w:rPr>
              <w:t>.  T</w:t>
            </w:r>
            <w:r w:rsidR="009D1923">
              <w:rPr>
                <w:rFonts w:ascii="Times New Roman" w:eastAsia="Times New Roman" w:hAnsi="Times New Roman" w:cs="Times New Roman"/>
                <w:sz w:val="24"/>
                <w:szCs w:val="24"/>
              </w:rPr>
              <w:t>his approach t</w:t>
            </w:r>
            <w:r w:rsidR="000E2175">
              <w:rPr>
                <w:rFonts w:ascii="Times New Roman" w:eastAsia="Times New Roman" w:hAnsi="Times New Roman" w:cs="Times New Roman"/>
                <w:sz w:val="24"/>
                <w:szCs w:val="24"/>
              </w:rPr>
              <w:t xml:space="preserve">o estimating trend growth </w:t>
            </w:r>
            <w:r w:rsidR="005D3F73">
              <w:rPr>
                <w:rFonts w:ascii="Times New Roman" w:eastAsia="Times New Roman" w:hAnsi="Times New Roman" w:cs="Times New Roman"/>
                <w:sz w:val="24"/>
                <w:szCs w:val="24"/>
              </w:rPr>
              <w:t>is consistent with</w:t>
            </w:r>
            <w:r w:rsidR="000668DE">
              <w:rPr>
                <w:rFonts w:ascii="Times New Roman" w:eastAsia="Times New Roman" w:hAnsi="Times New Roman" w:cs="Times New Roman"/>
                <w:sz w:val="24"/>
                <w:szCs w:val="24"/>
              </w:rPr>
              <w:t xml:space="preserve"> an </w:t>
            </w:r>
            <w:r w:rsidR="00A37FF0">
              <w:rPr>
                <w:rFonts w:ascii="Times New Roman" w:eastAsia="Times New Roman" w:hAnsi="Times New Roman" w:cs="Times New Roman"/>
                <w:sz w:val="24"/>
                <w:szCs w:val="24"/>
              </w:rPr>
              <w:t>older</w:t>
            </w:r>
            <w:r w:rsidR="009D1923">
              <w:rPr>
                <w:rFonts w:ascii="Times New Roman" w:eastAsia="Times New Roman" w:hAnsi="Times New Roman" w:cs="Times New Roman"/>
                <w:sz w:val="24"/>
                <w:szCs w:val="24"/>
              </w:rPr>
              <w:t xml:space="preserve"> NBER </w:t>
            </w:r>
            <w:r w:rsidR="00A37FF0">
              <w:rPr>
                <w:rFonts w:ascii="Times New Roman" w:eastAsia="Times New Roman" w:hAnsi="Times New Roman" w:cs="Times New Roman"/>
                <w:sz w:val="24"/>
                <w:szCs w:val="24"/>
              </w:rPr>
              <w:t xml:space="preserve">tradition </w:t>
            </w:r>
            <w:r w:rsidR="005D3F73">
              <w:rPr>
                <w:rFonts w:ascii="Times New Roman" w:eastAsia="Times New Roman" w:hAnsi="Times New Roman" w:cs="Times New Roman"/>
                <w:sz w:val="24"/>
                <w:szCs w:val="24"/>
              </w:rPr>
              <w:t>associated with Burns and</w:t>
            </w:r>
            <w:r w:rsidR="00E131A1">
              <w:rPr>
                <w:rFonts w:ascii="Times New Roman" w:eastAsia="Times New Roman" w:hAnsi="Times New Roman" w:cs="Times New Roman"/>
                <w:sz w:val="24"/>
                <w:szCs w:val="24"/>
              </w:rPr>
              <w:t xml:space="preserve"> Mitc</w:t>
            </w:r>
            <w:r w:rsidR="005D3F73">
              <w:rPr>
                <w:rFonts w:ascii="Times New Roman" w:eastAsia="Times New Roman" w:hAnsi="Times New Roman" w:cs="Times New Roman"/>
                <w:sz w:val="24"/>
                <w:szCs w:val="24"/>
              </w:rPr>
              <w:t>hell or</w:t>
            </w:r>
            <w:r w:rsidR="00B119BA">
              <w:rPr>
                <w:rFonts w:ascii="Times New Roman" w:eastAsia="Times New Roman" w:hAnsi="Times New Roman" w:cs="Times New Roman"/>
                <w:sz w:val="24"/>
                <w:szCs w:val="24"/>
              </w:rPr>
              <w:t xml:space="preserve"> Kuznets</w:t>
            </w:r>
            <w:r w:rsidR="005365C4">
              <w:rPr>
                <w:rFonts w:ascii="Times New Roman" w:eastAsia="Times New Roman" w:hAnsi="Times New Roman" w:cs="Times New Roman"/>
                <w:sz w:val="24"/>
                <w:szCs w:val="24"/>
              </w:rPr>
              <w:t>,</w:t>
            </w:r>
            <w:r w:rsidR="00E84921">
              <w:rPr>
                <w:rFonts w:ascii="Times New Roman" w:eastAsia="Times New Roman" w:hAnsi="Times New Roman" w:cs="Times New Roman"/>
                <w:sz w:val="24"/>
                <w:szCs w:val="24"/>
              </w:rPr>
              <w:t xml:space="preserve"> which was the tradition within which</w:t>
            </w:r>
            <w:r w:rsidR="0049247A">
              <w:rPr>
                <w:rFonts w:ascii="Times New Roman" w:eastAsia="Times New Roman" w:hAnsi="Times New Roman" w:cs="Times New Roman"/>
                <w:sz w:val="24"/>
                <w:szCs w:val="24"/>
              </w:rPr>
              <w:t xml:space="preserve"> Okun and </w:t>
            </w:r>
            <w:r w:rsidR="00E84921">
              <w:rPr>
                <w:rFonts w:ascii="Times New Roman" w:eastAsia="Times New Roman" w:hAnsi="Times New Roman" w:cs="Times New Roman"/>
                <w:sz w:val="24"/>
                <w:szCs w:val="24"/>
              </w:rPr>
              <w:t>Friedman w</w:t>
            </w:r>
            <w:r w:rsidR="0049247A">
              <w:rPr>
                <w:rFonts w:ascii="Times New Roman" w:eastAsia="Times New Roman" w:hAnsi="Times New Roman" w:cs="Times New Roman"/>
                <w:sz w:val="24"/>
                <w:szCs w:val="24"/>
              </w:rPr>
              <w:t>ere</w:t>
            </w:r>
            <w:r w:rsidR="00E84921">
              <w:rPr>
                <w:rFonts w:ascii="Times New Roman" w:eastAsia="Times New Roman" w:hAnsi="Times New Roman" w:cs="Times New Roman"/>
                <w:sz w:val="24"/>
                <w:szCs w:val="24"/>
              </w:rPr>
              <w:t xml:space="preserve"> working.</w:t>
            </w:r>
            <w:r w:rsidR="000668DE">
              <w:rPr>
                <w:rStyle w:val="FootnoteReference"/>
                <w:rFonts w:ascii="Times New Roman" w:eastAsia="Times New Roman" w:hAnsi="Times New Roman" w:cs="Times New Roman"/>
                <w:sz w:val="24"/>
                <w:szCs w:val="24"/>
              </w:rPr>
              <w:footnoteReference w:id="15"/>
            </w:r>
            <w:r w:rsidR="00A37FF0">
              <w:rPr>
                <w:rFonts w:ascii="Times New Roman" w:eastAsia="Times New Roman" w:hAnsi="Times New Roman" w:cs="Times New Roman"/>
                <w:sz w:val="24"/>
                <w:szCs w:val="24"/>
              </w:rPr>
              <w:t xml:space="preserve"> </w:t>
            </w:r>
          </w:p>
          <w:p w14:paraId="1212DDE0" w14:textId="62D000AF" w:rsidR="00551AC1" w:rsidRDefault="00C7222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175">
              <w:rPr>
                <w:rFonts w:ascii="Times New Roman" w:eastAsia="Times New Roman" w:hAnsi="Times New Roman" w:cs="Times New Roman"/>
                <w:sz w:val="24"/>
                <w:szCs w:val="24"/>
              </w:rPr>
              <w:t>U</w:t>
            </w:r>
            <w:r w:rsidR="009D1923">
              <w:rPr>
                <w:rFonts w:ascii="Times New Roman" w:eastAsia="Times New Roman" w:hAnsi="Times New Roman" w:cs="Times New Roman"/>
                <w:sz w:val="24"/>
                <w:szCs w:val="24"/>
              </w:rPr>
              <w:t>nder the influence of real business cycle advocates</w:t>
            </w:r>
            <w:r w:rsidR="00A37FF0">
              <w:rPr>
                <w:rFonts w:ascii="Times New Roman" w:eastAsia="Times New Roman" w:hAnsi="Times New Roman" w:cs="Times New Roman"/>
                <w:sz w:val="24"/>
                <w:szCs w:val="24"/>
              </w:rPr>
              <w:t xml:space="preserve"> in the 1980s</w:t>
            </w:r>
            <w:r w:rsidR="009D1923">
              <w:rPr>
                <w:rFonts w:ascii="Times New Roman" w:eastAsia="Times New Roman" w:hAnsi="Times New Roman" w:cs="Times New Roman"/>
                <w:sz w:val="24"/>
                <w:szCs w:val="24"/>
              </w:rPr>
              <w:t xml:space="preserve"> it became fashionable to view </w:t>
            </w:r>
            <w:r w:rsidR="00A37FF0">
              <w:rPr>
                <w:rFonts w:ascii="Times New Roman" w:eastAsia="Times New Roman" w:hAnsi="Times New Roman" w:cs="Times New Roman"/>
                <w:sz w:val="24"/>
                <w:szCs w:val="24"/>
              </w:rPr>
              <w:t>sho</w:t>
            </w:r>
            <w:r w:rsidR="009D1923">
              <w:rPr>
                <w:rFonts w:ascii="Times New Roman" w:eastAsia="Times New Roman" w:hAnsi="Times New Roman" w:cs="Times New Roman"/>
                <w:sz w:val="24"/>
                <w:szCs w:val="24"/>
              </w:rPr>
              <w:t xml:space="preserve">rt run deviations of actual </w:t>
            </w:r>
            <w:r w:rsidR="00DE3790">
              <w:rPr>
                <w:rFonts w:ascii="Times New Roman" w:eastAsia="Times New Roman" w:hAnsi="Times New Roman" w:cs="Times New Roman"/>
                <w:sz w:val="24"/>
                <w:szCs w:val="24"/>
              </w:rPr>
              <w:t xml:space="preserve">output </w:t>
            </w:r>
            <w:r w:rsidR="009D1923">
              <w:rPr>
                <w:rFonts w:ascii="Times New Roman" w:eastAsia="Times New Roman" w:hAnsi="Times New Roman" w:cs="Times New Roman"/>
                <w:sz w:val="24"/>
                <w:szCs w:val="24"/>
              </w:rPr>
              <w:t xml:space="preserve">from trend as symmetrically distributed above and below a non-linear trend constructed using an </w:t>
            </w:r>
            <w:r w:rsidR="004A307B">
              <w:rPr>
                <w:rFonts w:ascii="Times New Roman" w:eastAsia="Times New Roman" w:hAnsi="Times New Roman" w:cs="Times New Roman"/>
                <w:sz w:val="24"/>
                <w:szCs w:val="24"/>
              </w:rPr>
              <w:t>HP</w:t>
            </w:r>
            <w:r w:rsidR="009D1923">
              <w:rPr>
                <w:rFonts w:ascii="Times New Roman" w:eastAsia="Times New Roman" w:hAnsi="Times New Roman" w:cs="Times New Roman"/>
                <w:sz w:val="24"/>
                <w:szCs w:val="24"/>
              </w:rPr>
              <w:t xml:space="preserve"> filter, with business fluctuations explained almost entirely as t</w:t>
            </w:r>
            <w:r w:rsidR="00697E26">
              <w:rPr>
                <w:rFonts w:ascii="Times New Roman" w:eastAsia="Times New Roman" w:hAnsi="Times New Roman" w:cs="Times New Roman"/>
                <w:sz w:val="24"/>
                <w:szCs w:val="24"/>
              </w:rPr>
              <w:t>he consequence of supply shocks</w:t>
            </w:r>
            <w:r>
              <w:rPr>
                <w:rFonts w:ascii="Times New Roman" w:eastAsia="Times New Roman" w:hAnsi="Times New Roman" w:cs="Times New Roman"/>
                <w:sz w:val="24"/>
                <w:szCs w:val="24"/>
              </w:rPr>
              <w:t>.</w:t>
            </w:r>
            <w:r w:rsidR="00551AC1">
              <w:rPr>
                <w:rFonts w:ascii="Times New Roman" w:eastAsia="Times New Roman" w:hAnsi="Times New Roman" w:cs="Times New Roman"/>
                <w:sz w:val="24"/>
                <w:szCs w:val="24"/>
              </w:rPr>
              <w:t xml:space="preserve">  When RBC proponents de</w:t>
            </w:r>
            <w:r w:rsidR="00B450A0">
              <w:rPr>
                <w:rFonts w:ascii="Times New Roman" w:eastAsia="Times New Roman" w:hAnsi="Times New Roman" w:cs="Times New Roman"/>
                <w:sz w:val="24"/>
                <w:szCs w:val="24"/>
              </w:rPr>
              <w:t>scribed booms as above trend and recessions as below trend</w:t>
            </w:r>
            <w:r w:rsidR="00551AC1">
              <w:rPr>
                <w:rFonts w:ascii="Times New Roman" w:eastAsia="Times New Roman" w:hAnsi="Times New Roman" w:cs="Times New Roman"/>
                <w:sz w:val="24"/>
                <w:szCs w:val="24"/>
              </w:rPr>
              <w:t>, howev</w:t>
            </w:r>
            <w:r w:rsidR="000E2175">
              <w:rPr>
                <w:rFonts w:ascii="Times New Roman" w:eastAsia="Times New Roman" w:hAnsi="Times New Roman" w:cs="Times New Roman"/>
                <w:sz w:val="24"/>
                <w:szCs w:val="24"/>
              </w:rPr>
              <w:t xml:space="preserve">er, </w:t>
            </w:r>
            <w:r w:rsidR="00B450A0">
              <w:rPr>
                <w:rFonts w:ascii="Times New Roman" w:eastAsia="Times New Roman" w:hAnsi="Times New Roman" w:cs="Times New Roman"/>
                <w:sz w:val="24"/>
                <w:szCs w:val="24"/>
              </w:rPr>
              <w:t>they didn’t</w:t>
            </w:r>
            <w:r w:rsidR="00BD6E45">
              <w:rPr>
                <w:rFonts w:ascii="Times New Roman" w:eastAsia="Times New Roman" w:hAnsi="Times New Roman" w:cs="Times New Roman"/>
                <w:sz w:val="24"/>
                <w:szCs w:val="24"/>
              </w:rPr>
              <w:t xml:space="preserve"> actually</w:t>
            </w:r>
            <w:r w:rsidR="00E84921">
              <w:rPr>
                <w:rFonts w:ascii="Times New Roman" w:eastAsia="Times New Roman" w:hAnsi="Times New Roman" w:cs="Times New Roman"/>
                <w:sz w:val="24"/>
                <w:szCs w:val="24"/>
              </w:rPr>
              <w:t xml:space="preserve"> </w:t>
            </w:r>
            <w:r w:rsidR="00B450A0">
              <w:rPr>
                <w:rFonts w:ascii="Times New Roman" w:eastAsia="Times New Roman" w:hAnsi="Times New Roman" w:cs="Times New Roman"/>
                <w:sz w:val="24"/>
                <w:szCs w:val="24"/>
              </w:rPr>
              <w:t>mean that the economy was above or below potential</w:t>
            </w:r>
            <w:r w:rsidR="00551AC1">
              <w:rPr>
                <w:rFonts w:ascii="Times New Roman" w:eastAsia="Times New Roman" w:hAnsi="Times New Roman" w:cs="Times New Roman"/>
                <w:sz w:val="24"/>
                <w:szCs w:val="24"/>
              </w:rPr>
              <w:t>, since co</w:t>
            </w:r>
            <w:r w:rsidR="00B119BA">
              <w:rPr>
                <w:rFonts w:ascii="Times New Roman" w:eastAsia="Times New Roman" w:hAnsi="Times New Roman" w:cs="Times New Roman"/>
                <w:sz w:val="24"/>
                <w:szCs w:val="24"/>
              </w:rPr>
              <w:t xml:space="preserve">nceptually there could </w:t>
            </w:r>
            <w:r w:rsidR="00551AC1">
              <w:rPr>
                <w:rFonts w:ascii="Times New Roman" w:eastAsia="Times New Roman" w:hAnsi="Times New Roman" w:cs="Times New Roman"/>
                <w:sz w:val="24"/>
                <w:szCs w:val="24"/>
              </w:rPr>
              <w:t xml:space="preserve">be no difference between </w:t>
            </w:r>
            <w:r w:rsidR="000E2175">
              <w:rPr>
                <w:rFonts w:ascii="Times New Roman" w:eastAsia="Times New Roman" w:hAnsi="Times New Roman" w:cs="Times New Roman"/>
                <w:sz w:val="24"/>
                <w:szCs w:val="24"/>
              </w:rPr>
              <w:t>actual and potential.</w:t>
            </w:r>
            <w:r w:rsidR="00B450A0">
              <w:rPr>
                <w:rStyle w:val="FootnoteReference"/>
                <w:rFonts w:ascii="Times New Roman" w:eastAsia="Times New Roman" w:hAnsi="Times New Roman" w:cs="Times New Roman"/>
                <w:sz w:val="24"/>
                <w:szCs w:val="24"/>
              </w:rPr>
              <w:footnoteReference w:id="16"/>
            </w:r>
            <w:r w:rsidR="00B450A0">
              <w:rPr>
                <w:rFonts w:ascii="Times New Roman" w:eastAsia="Times New Roman" w:hAnsi="Times New Roman" w:cs="Times New Roman"/>
                <w:sz w:val="24"/>
                <w:szCs w:val="24"/>
              </w:rPr>
              <w:t xml:space="preserve">  What was </w:t>
            </w:r>
            <w:r w:rsidR="00551AC1">
              <w:rPr>
                <w:rFonts w:ascii="Times New Roman" w:eastAsia="Times New Roman" w:hAnsi="Times New Roman" w:cs="Times New Roman"/>
                <w:sz w:val="24"/>
                <w:szCs w:val="24"/>
              </w:rPr>
              <w:t xml:space="preserve">meant was that output was above </w:t>
            </w:r>
            <w:r w:rsidR="00B450A0">
              <w:rPr>
                <w:rFonts w:ascii="Times New Roman" w:eastAsia="Times New Roman" w:hAnsi="Times New Roman" w:cs="Times New Roman"/>
                <w:sz w:val="24"/>
                <w:szCs w:val="24"/>
              </w:rPr>
              <w:t xml:space="preserve">or below </w:t>
            </w:r>
            <w:r w:rsidR="00551AC1">
              <w:rPr>
                <w:rFonts w:ascii="Times New Roman" w:eastAsia="Times New Roman" w:hAnsi="Times New Roman" w:cs="Times New Roman"/>
                <w:sz w:val="24"/>
                <w:szCs w:val="24"/>
              </w:rPr>
              <w:t xml:space="preserve">what would be predicted by </w:t>
            </w:r>
            <w:r w:rsidR="00B119BA">
              <w:rPr>
                <w:rFonts w:ascii="Times New Roman" w:eastAsia="Times New Roman" w:hAnsi="Times New Roman" w:cs="Times New Roman"/>
                <w:sz w:val="24"/>
                <w:szCs w:val="24"/>
              </w:rPr>
              <w:t xml:space="preserve">a </w:t>
            </w:r>
            <w:r w:rsidR="00551AC1" w:rsidRPr="00B450A0">
              <w:rPr>
                <w:rFonts w:ascii="Times New Roman" w:eastAsia="Times New Roman" w:hAnsi="Times New Roman" w:cs="Times New Roman"/>
                <w:sz w:val="24"/>
                <w:szCs w:val="24"/>
              </w:rPr>
              <w:t xml:space="preserve">trend </w:t>
            </w:r>
            <w:r w:rsidR="00551AC1">
              <w:rPr>
                <w:rFonts w:ascii="Times New Roman" w:eastAsia="Times New Roman" w:hAnsi="Times New Roman" w:cs="Times New Roman"/>
                <w:sz w:val="24"/>
                <w:szCs w:val="24"/>
              </w:rPr>
              <w:t>estimat</w:t>
            </w:r>
            <w:r w:rsidR="00B119BA">
              <w:rPr>
                <w:rFonts w:ascii="Times New Roman" w:eastAsia="Times New Roman" w:hAnsi="Times New Roman" w:cs="Times New Roman"/>
                <w:sz w:val="24"/>
                <w:szCs w:val="24"/>
              </w:rPr>
              <w:t>ed in the manner described</w:t>
            </w:r>
            <w:r w:rsidR="00551AC1">
              <w:rPr>
                <w:rFonts w:ascii="Times New Roman" w:eastAsia="Times New Roman" w:hAnsi="Times New Roman" w:cs="Times New Roman"/>
                <w:sz w:val="24"/>
                <w:szCs w:val="24"/>
              </w:rPr>
              <w:t>. This notion of an output “gap” is quite different from what Arthur Okun had in mind in 1962.</w:t>
            </w:r>
          </w:p>
          <w:p w14:paraId="0908E66D" w14:textId="4D525781" w:rsidR="00B450A0" w:rsidRDefault="00551AC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Real business cycle theor</w:t>
            </w:r>
            <w:r w:rsidR="000E2175">
              <w:rPr>
                <w:rFonts w:ascii="Times New Roman" w:eastAsia="Times New Roman" w:hAnsi="Times New Roman" w:cs="Times New Roman"/>
                <w:sz w:val="24"/>
                <w:szCs w:val="24"/>
              </w:rPr>
              <w:t>ists</w:t>
            </w:r>
            <w:r>
              <w:rPr>
                <w:rFonts w:ascii="Times New Roman" w:eastAsia="Times New Roman" w:hAnsi="Times New Roman" w:cs="Times New Roman"/>
                <w:sz w:val="24"/>
                <w:szCs w:val="24"/>
              </w:rPr>
              <w:t xml:space="preserve">, however, found it difficult to explain why output not only grew more slowly in recessions, but usually declined.  It was one thing to explain slow and fast periods of growth </w:t>
            </w:r>
            <w:r w:rsidR="00B119BA">
              <w:rPr>
                <w:rFonts w:ascii="Times New Roman" w:eastAsia="Times New Roman" w:hAnsi="Times New Roman" w:cs="Times New Roman"/>
                <w:sz w:val="24"/>
                <w:szCs w:val="24"/>
              </w:rPr>
              <w:t xml:space="preserve">as due </w:t>
            </w:r>
            <w:r>
              <w:rPr>
                <w:rFonts w:ascii="Times New Roman" w:eastAsia="Times New Roman" w:hAnsi="Times New Roman" w:cs="Times New Roman"/>
                <w:sz w:val="24"/>
                <w:szCs w:val="24"/>
              </w:rPr>
              <w:t xml:space="preserve">to the differential </w:t>
            </w:r>
            <w:r w:rsidR="000E2175">
              <w:rPr>
                <w:rFonts w:ascii="Times New Roman" w:eastAsia="Times New Roman" w:hAnsi="Times New Roman" w:cs="Times New Roman"/>
                <w:sz w:val="24"/>
                <w:szCs w:val="24"/>
              </w:rPr>
              <w:t>rate</w:t>
            </w:r>
            <w:r w:rsidR="00B450A0">
              <w:rPr>
                <w:rFonts w:ascii="Times New Roman" w:eastAsia="Times New Roman" w:hAnsi="Times New Roman" w:cs="Times New Roman"/>
                <w:sz w:val="24"/>
                <w:szCs w:val="24"/>
              </w:rPr>
              <w:t xml:space="preserve"> of</w:t>
            </w:r>
            <w:r w:rsidR="000E2175">
              <w:rPr>
                <w:rFonts w:ascii="Times New Roman" w:eastAsia="Times New Roman" w:hAnsi="Times New Roman" w:cs="Times New Roman"/>
                <w:sz w:val="24"/>
                <w:szCs w:val="24"/>
              </w:rPr>
              <w:t xml:space="preserve"> arrival of</w:t>
            </w:r>
            <w:r>
              <w:rPr>
                <w:rFonts w:ascii="Times New Roman" w:eastAsia="Times New Roman" w:hAnsi="Times New Roman" w:cs="Times New Roman"/>
                <w:sz w:val="24"/>
                <w:szCs w:val="24"/>
              </w:rPr>
              <w:t xml:space="preserve"> positive technology shocks. But </w:t>
            </w:r>
            <w:r w:rsidR="0049247A">
              <w:rPr>
                <w:rFonts w:ascii="Times New Roman" w:eastAsia="Times New Roman" w:hAnsi="Times New Roman" w:cs="Times New Roman"/>
                <w:sz w:val="24"/>
                <w:szCs w:val="24"/>
              </w:rPr>
              <w:lastRenderedPageBreak/>
              <w:t xml:space="preserve">where </w:t>
            </w:r>
            <w:r>
              <w:rPr>
                <w:rFonts w:ascii="Times New Roman" w:eastAsia="Times New Roman" w:hAnsi="Times New Roman" w:cs="Times New Roman"/>
                <w:sz w:val="24"/>
                <w:szCs w:val="24"/>
              </w:rPr>
              <w:t>were the</w:t>
            </w:r>
            <w:r w:rsidR="00827542">
              <w:rPr>
                <w:rFonts w:ascii="Times New Roman" w:eastAsia="Times New Roman" w:hAnsi="Times New Roman" w:cs="Times New Roman"/>
                <w:sz w:val="24"/>
                <w:szCs w:val="24"/>
              </w:rPr>
              <w:t>re</w:t>
            </w:r>
            <w:r w:rsidR="00B119BA">
              <w:rPr>
                <w:rFonts w:ascii="Times New Roman" w:eastAsia="Times New Roman" w:hAnsi="Times New Roman" w:cs="Times New Roman"/>
                <w:sz w:val="24"/>
                <w:szCs w:val="24"/>
              </w:rPr>
              <w:t xml:space="preserve"> plausible negative shocks to explain most of the declines in output?</w:t>
            </w:r>
            <w:r>
              <w:rPr>
                <w:rFonts w:ascii="Times New Roman" w:eastAsia="Times New Roman" w:hAnsi="Times New Roman" w:cs="Times New Roman"/>
                <w:sz w:val="24"/>
                <w:szCs w:val="24"/>
              </w:rPr>
              <w:t xml:space="preserve">  The theory predicted price moderation rather than inflation during booms, and the reverse during recessions, the opposite of experience </w:t>
            </w:r>
            <w:r w:rsidR="00B119BA">
              <w:rPr>
                <w:rFonts w:ascii="Times New Roman" w:eastAsia="Times New Roman" w:hAnsi="Times New Roman" w:cs="Times New Roman"/>
                <w:sz w:val="24"/>
                <w:szCs w:val="24"/>
              </w:rPr>
              <w:t>in almost all recessio</w:t>
            </w:r>
            <w:r w:rsidR="000E2175">
              <w:rPr>
                <w:rFonts w:ascii="Times New Roman" w:eastAsia="Times New Roman" w:hAnsi="Times New Roman" w:cs="Times New Roman"/>
                <w:sz w:val="24"/>
                <w:szCs w:val="24"/>
              </w:rPr>
              <w:t>ns (</w:t>
            </w:r>
            <w:r w:rsidR="00B119B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19</w:t>
            </w:r>
            <w:r w:rsidR="00B119BA">
              <w:rPr>
                <w:rFonts w:ascii="Times New Roman" w:eastAsia="Times New Roman" w:hAnsi="Times New Roman" w:cs="Times New Roman"/>
                <w:sz w:val="24"/>
                <w:szCs w:val="24"/>
              </w:rPr>
              <w:t>74-75 recession</w:t>
            </w:r>
            <w:r w:rsidR="00A6477C">
              <w:rPr>
                <w:rFonts w:ascii="Times New Roman" w:eastAsia="Times New Roman" w:hAnsi="Times New Roman" w:cs="Times New Roman"/>
                <w:sz w:val="24"/>
                <w:szCs w:val="24"/>
              </w:rPr>
              <w:t xml:space="preserve"> </w:t>
            </w:r>
            <w:r w:rsidR="000E2175">
              <w:rPr>
                <w:rFonts w:ascii="Times New Roman" w:eastAsia="Times New Roman" w:hAnsi="Times New Roman" w:cs="Times New Roman"/>
                <w:sz w:val="24"/>
                <w:szCs w:val="24"/>
              </w:rPr>
              <w:t>one of the few exceptions</w:t>
            </w:r>
            <w:r w:rsidR="00B119BA">
              <w:rPr>
                <w:rFonts w:ascii="Times New Roman" w:eastAsia="Times New Roman" w:hAnsi="Times New Roman" w:cs="Times New Roman"/>
                <w:sz w:val="24"/>
                <w:szCs w:val="24"/>
              </w:rPr>
              <w:t xml:space="preserve">).  </w:t>
            </w:r>
          </w:p>
          <w:p w14:paraId="3CF51CA0" w14:textId="58EAA668" w:rsidR="00A6477C" w:rsidRDefault="00B450A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2175">
              <w:rPr>
                <w:rFonts w:ascii="Times New Roman" w:eastAsia="Times New Roman" w:hAnsi="Times New Roman" w:cs="Times New Roman"/>
                <w:sz w:val="24"/>
                <w:szCs w:val="24"/>
              </w:rPr>
              <w:t>As an intellectual experiment, r</w:t>
            </w:r>
            <w:r w:rsidR="00551AC1">
              <w:rPr>
                <w:rFonts w:ascii="Times New Roman" w:eastAsia="Times New Roman" w:hAnsi="Times New Roman" w:cs="Times New Roman"/>
                <w:sz w:val="24"/>
                <w:szCs w:val="24"/>
              </w:rPr>
              <w:t xml:space="preserve">eal business cycle theory </w:t>
            </w:r>
            <w:r w:rsidR="000E2175">
              <w:rPr>
                <w:rFonts w:ascii="Times New Roman" w:eastAsia="Times New Roman" w:hAnsi="Times New Roman" w:cs="Times New Roman"/>
                <w:sz w:val="24"/>
                <w:szCs w:val="24"/>
              </w:rPr>
              <w:t>fou</w:t>
            </w:r>
            <w:r w:rsidR="00551AC1">
              <w:rPr>
                <w:rFonts w:ascii="Times New Roman" w:eastAsia="Times New Roman" w:hAnsi="Times New Roman" w:cs="Times New Roman"/>
                <w:sz w:val="24"/>
                <w:szCs w:val="24"/>
              </w:rPr>
              <w:t xml:space="preserve">ndered on its inability to explain most business cycle fluctuations, most spectacularly the Great Depression.  </w:t>
            </w:r>
            <w:r w:rsidR="00E84921">
              <w:rPr>
                <w:rFonts w:ascii="Times New Roman" w:eastAsia="Times New Roman" w:hAnsi="Times New Roman" w:cs="Times New Roman"/>
                <w:sz w:val="24"/>
                <w:szCs w:val="24"/>
              </w:rPr>
              <w:t xml:space="preserve">Few </w:t>
            </w:r>
            <w:r w:rsidR="00551AC1">
              <w:rPr>
                <w:rFonts w:ascii="Times New Roman" w:eastAsia="Times New Roman" w:hAnsi="Times New Roman" w:cs="Times New Roman"/>
                <w:sz w:val="24"/>
                <w:szCs w:val="24"/>
              </w:rPr>
              <w:t>practicing applied economist</w:t>
            </w:r>
            <w:r w:rsidR="00E84921">
              <w:rPr>
                <w:rFonts w:ascii="Times New Roman" w:eastAsia="Times New Roman" w:hAnsi="Times New Roman" w:cs="Times New Roman"/>
                <w:sz w:val="24"/>
                <w:szCs w:val="24"/>
              </w:rPr>
              <w:t>s</w:t>
            </w:r>
            <w:r w:rsidR="0021220C">
              <w:rPr>
                <w:rFonts w:ascii="Times New Roman" w:eastAsia="Times New Roman" w:hAnsi="Times New Roman" w:cs="Times New Roman"/>
                <w:sz w:val="24"/>
                <w:szCs w:val="24"/>
              </w:rPr>
              <w:t xml:space="preserve"> today</w:t>
            </w:r>
            <w:r w:rsidR="00551AC1">
              <w:rPr>
                <w:rFonts w:ascii="Times New Roman" w:eastAsia="Times New Roman" w:hAnsi="Times New Roman" w:cs="Times New Roman"/>
                <w:sz w:val="24"/>
                <w:szCs w:val="24"/>
              </w:rPr>
              <w:t xml:space="preserve">, </w:t>
            </w:r>
            <w:r w:rsidR="005365C4">
              <w:rPr>
                <w:rFonts w:ascii="Times New Roman" w:eastAsia="Times New Roman" w:hAnsi="Times New Roman" w:cs="Times New Roman"/>
                <w:sz w:val="24"/>
                <w:szCs w:val="24"/>
              </w:rPr>
              <w:t>individuals</w:t>
            </w:r>
            <w:r w:rsidR="00E84921">
              <w:rPr>
                <w:rFonts w:ascii="Times New Roman" w:eastAsia="Times New Roman" w:hAnsi="Times New Roman" w:cs="Times New Roman"/>
                <w:sz w:val="24"/>
                <w:szCs w:val="24"/>
              </w:rPr>
              <w:t xml:space="preserve"> </w:t>
            </w:r>
            <w:r w:rsidR="00551AC1">
              <w:rPr>
                <w:rFonts w:ascii="Times New Roman" w:eastAsia="Times New Roman" w:hAnsi="Times New Roman" w:cs="Times New Roman"/>
                <w:sz w:val="24"/>
                <w:szCs w:val="24"/>
              </w:rPr>
              <w:t xml:space="preserve">involved in policy work </w:t>
            </w:r>
            <w:r w:rsidR="00E84921">
              <w:rPr>
                <w:rFonts w:ascii="Times New Roman" w:eastAsia="Times New Roman" w:hAnsi="Times New Roman" w:cs="Times New Roman"/>
                <w:sz w:val="24"/>
                <w:szCs w:val="24"/>
              </w:rPr>
              <w:t xml:space="preserve">or </w:t>
            </w:r>
            <w:r w:rsidR="00551AC1">
              <w:rPr>
                <w:rFonts w:ascii="Times New Roman" w:eastAsia="Times New Roman" w:hAnsi="Times New Roman" w:cs="Times New Roman"/>
                <w:sz w:val="24"/>
                <w:szCs w:val="24"/>
              </w:rPr>
              <w:t>advising bank</w:t>
            </w:r>
            <w:r w:rsidR="00E84921">
              <w:rPr>
                <w:rFonts w:ascii="Times New Roman" w:eastAsia="Times New Roman" w:hAnsi="Times New Roman" w:cs="Times New Roman"/>
                <w:sz w:val="24"/>
                <w:szCs w:val="24"/>
              </w:rPr>
              <w:t>s</w:t>
            </w:r>
            <w:r w:rsidR="00551AC1">
              <w:rPr>
                <w:rFonts w:ascii="Times New Roman" w:eastAsia="Times New Roman" w:hAnsi="Times New Roman" w:cs="Times New Roman"/>
                <w:sz w:val="24"/>
                <w:szCs w:val="24"/>
              </w:rPr>
              <w:t>, hedge fund</w:t>
            </w:r>
            <w:r w:rsidR="00E84921">
              <w:rPr>
                <w:rFonts w:ascii="Times New Roman" w:eastAsia="Times New Roman" w:hAnsi="Times New Roman" w:cs="Times New Roman"/>
                <w:sz w:val="24"/>
                <w:szCs w:val="24"/>
              </w:rPr>
              <w:t>s</w:t>
            </w:r>
            <w:r w:rsidR="00551AC1">
              <w:rPr>
                <w:rFonts w:ascii="Times New Roman" w:eastAsia="Times New Roman" w:hAnsi="Times New Roman" w:cs="Times New Roman"/>
                <w:sz w:val="24"/>
                <w:szCs w:val="24"/>
              </w:rPr>
              <w:t>, or nonfinancial corporat</w:t>
            </w:r>
            <w:r w:rsidR="000E2175">
              <w:rPr>
                <w:rFonts w:ascii="Times New Roman" w:eastAsia="Times New Roman" w:hAnsi="Times New Roman" w:cs="Times New Roman"/>
                <w:sz w:val="24"/>
                <w:szCs w:val="24"/>
              </w:rPr>
              <w:t>ion</w:t>
            </w:r>
            <w:r w:rsidR="00E84921">
              <w:rPr>
                <w:rFonts w:ascii="Times New Roman" w:eastAsia="Times New Roman" w:hAnsi="Times New Roman" w:cs="Times New Roman"/>
                <w:sz w:val="24"/>
                <w:szCs w:val="24"/>
              </w:rPr>
              <w:t>s</w:t>
            </w:r>
            <w:r w:rsidR="000E2175">
              <w:rPr>
                <w:rFonts w:ascii="Times New Roman" w:eastAsia="Times New Roman" w:hAnsi="Times New Roman" w:cs="Times New Roman"/>
                <w:sz w:val="24"/>
                <w:szCs w:val="24"/>
              </w:rPr>
              <w:t>, adhere to the belief that supply shocks (not fluctuations in</w:t>
            </w:r>
            <w:r w:rsidR="00551AC1">
              <w:rPr>
                <w:rFonts w:ascii="Times New Roman" w:eastAsia="Times New Roman" w:hAnsi="Times New Roman" w:cs="Times New Roman"/>
                <w:sz w:val="24"/>
                <w:szCs w:val="24"/>
              </w:rPr>
              <w:t xml:space="preserve"> aggregate demand</w:t>
            </w:r>
            <w:r w:rsidR="000E2175">
              <w:rPr>
                <w:rFonts w:ascii="Times New Roman" w:eastAsia="Times New Roman" w:hAnsi="Times New Roman" w:cs="Times New Roman"/>
                <w:sz w:val="24"/>
                <w:szCs w:val="24"/>
              </w:rPr>
              <w:t xml:space="preserve">) are </w:t>
            </w:r>
            <w:r w:rsidR="00551AC1">
              <w:rPr>
                <w:rFonts w:ascii="Times New Roman" w:eastAsia="Times New Roman" w:hAnsi="Times New Roman" w:cs="Times New Roman"/>
                <w:sz w:val="24"/>
                <w:szCs w:val="24"/>
              </w:rPr>
              <w:t xml:space="preserve">the principal cause of </w:t>
            </w:r>
            <w:r w:rsidR="004766D0">
              <w:rPr>
                <w:rFonts w:ascii="Times New Roman" w:eastAsia="Times New Roman" w:hAnsi="Times New Roman" w:cs="Times New Roman"/>
                <w:sz w:val="24"/>
                <w:szCs w:val="24"/>
              </w:rPr>
              <w:t xml:space="preserve">aggregate </w:t>
            </w:r>
            <w:r w:rsidR="00551AC1">
              <w:rPr>
                <w:rFonts w:ascii="Times New Roman" w:eastAsia="Times New Roman" w:hAnsi="Times New Roman" w:cs="Times New Roman"/>
                <w:sz w:val="24"/>
                <w:szCs w:val="24"/>
              </w:rPr>
              <w:t>fluctuations</w:t>
            </w:r>
            <w:r w:rsidR="004766D0">
              <w:rPr>
                <w:rFonts w:ascii="Times New Roman" w:eastAsia="Times New Roman" w:hAnsi="Times New Roman" w:cs="Times New Roman"/>
                <w:sz w:val="24"/>
                <w:szCs w:val="24"/>
              </w:rPr>
              <w:t xml:space="preserve"> in a large economy</w:t>
            </w:r>
            <w:r w:rsidR="00551AC1">
              <w:rPr>
                <w:rFonts w:ascii="Times New Roman" w:eastAsia="Times New Roman" w:hAnsi="Times New Roman" w:cs="Times New Roman"/>
                <w:sz w:val="24"/>
                <w:szCs w:val="24"/>
              </w:rPr>
              <w:t>.</w:t>
            </w:r>
            <w:r w:rsidR="00C72220">
              <w:rPr>
                <w:rFonts w:ascii="Times New Roman" w:eastAsia="Times New Roman" w:hAnsi="Times New Roman" w:cs="Times New Roman"/>
                <w:sz w:val="24"/>
                <w:szCs w:val="24"/>
              </w:rPr>
              <w:t xml:space="preserve"> </w:t>
            </w:r>
            <w:r w:rsidR="00551AC1">
              <w:rPr>
                <w:rFonts w:ascii="Times New Roman" w:eastAsia="Times New Roman" w:hAnsi="Times New Roman" w:cs="Times New Roman"/>
                <w:sz w:val="24"/>
                <w:szCs w:val="24"/>
              </w:rPr>
              <w:t>Nevertheless</w:t>
            </w:r>
            <w:r w:rsidR="004766D0">
              <w:rPr>
                <w:rFonts w:ascii="Times New Roman" w:eastAsia="Times New Roman" w:hAnsi="Times New Roman" w:cs="Times New Roman"/>
                <w:sz w:val="24"/>
                <w:szCs w:val="24"/>
              </w:rPr>
              <w:t xml:space="preserve">, </w:t>
            </w:r>
            <w:r w:rsidR="00151716">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though the </w:t>
            </w:r>
            <w:r w:rsidR="00151716">
              <w:rPr>
                <w:rFonts w:ascii="Times New Roman" w:eastAsia="Times New Roman" w:hAnsi="Times New Roman" w:cs="Times New Roman"/>
                <w:sz w:val="24"/>
                <w:szCs w:val="24"/>
              </w:rPr>
              <w:t>explanatory objectiv</w:t>
            </w:r>
            <w:r>
              <w:rPr>
                <w:rFonts w:ascii="Times New Roman" w:eastAsia="Times New Roman" w:hAnsi="Times New Roman" w:cs="Times New Roman"/>
                <w:sz w:val="24"/>
                <w:szCs w:val="24"/>
              </w:rPr>
              <w:t>es</w:t>
            </w:r>
            <w:r w:rsidR="001C5BCA">
              <w:rPr>
                <w:rFonts w:ascii="Times New Roman" w:eastAsia="Times New Roman" w:hAnsi="Times New Roman" w:cs="Times New Roman"/>
                <w:sz w:val="24"/>
                <w:szCs w:val="24"/>
              </w:rPr>
              <w:t xml:space="preserve"> of the RBC </w:t>
            </w:r>
            <w:r w:rsidR="00151716">
              <w:rPr>
                <w:rFonts w:ascii="Times New Roman" w:eastAsia="Times New Roman" w:hAnsi="Times New Roman" w:cs="Times New Roman"/>
                <w:sz w:val="24"/>
                <w:szCs w:val="24"/>
              </w:rPr>
              <w:t xml:space="preserve">project remain </w:t>
            </w:r>
            <w:r w:rsidR="00A6477C">
              <w:rPr>
                <w:rFonts w:ascii="Times New Roman" w:eastAsia="Times New Roman" w:hAnsi="Times New Roman" w:cs="Times New Roman"/>
                <w:sz w:val="24"/>
                <w:szCs w:val="24"/>
              </w:rPr>
              <w:t xml:space="preserve">by and large </w:t>
            </w:r>
            <w:r w:rsidR="00151716">
              <w:rPr>
                <w:rFonts w:ascii="Times New Roman" w:eastAsia="Times New Roman" w:hAnsi="Times New Roman" w:cs="Times New Roman"/>
                <w:sz w:val="24"/>
                <w:szCs w:val="24"/>
              </w:rPr>
              <w:t>un</w:t>
            </w:r>
            <w:r>
              <w:rPr>
                <w:rFonts w:ascii="Times New Roman" w:eastAsia="Times New Roman" w:hAnsi="Times New Roman" w:cs="Times New Roman"/>
                <w:sz w:val="24"/>
                <w:szCs w:val="24"/>
              </w:rPr>
              <w:t>realized</w:t>
            </w:r>
            <w:r w:rsidR="001C5BCA">
              <w:rPr>
                <w:rFonts w:ascii="Times New Roman" w:eastAsia="Times New Roman" w:hAnsi="Times New Roman" w:cs="Times New Roman"/>
                <w:sz w:val="24"/>
                <w:szCs w:val="24"/>
              </w:rPr>
              <w:t xml:space="preserve">, </w:t>
            </w:r>
            <w:r w:rsidR="00674E43">
              <w:rPr>
                <w:rFonts w:ascii="Times New Roman" w:eastAsia="Times New Roman" w:hAnsi="Times New Roman" w:cs="Times New Roman"/>
                <w:sz w:val="24"/>
                <w:szCs w:val="24"/>
              </w:rPr>
              <w:t xml:space="preserve">its methodology </w:t>
            </w:r>
            <w:r w:rsidR="007C3650">
              <w:rPr>
                <w:rFonts w:ascii="Times New Roman" w:eastAsia="Times New Roman" w:hAnsi="Times New Roman" w:cs="Times New Roman"/>
                <w:sz w:val="24"/>
                <w:szCs w:val="24"/>
              </w:rPr>
              <w:t>left a legacy</w:t>
            </w:r>
            <w:r w:rsidR="004766D0">
              <w:rPr>
                <w:rFonts w:ascii="Times New Roman" w:eastAsia="Times New Roman" w:hAnsi="Times New Roman" w:cs="Times New Roman"/>
                <w:sz w:val="24"/>
                <w:szCs w:val="24"/>
              </w:rPr>
              <w:t xml:space="preserve"> among non-RBC macroecon</w:t>
            </w:r>
            <w:r w:rsidR="00BD6E45">
              <w:rPr>
                <w:rFonts w:ascii="Times New Roman" w:eastAsia="Times New Roman" w:hAnsi="Times New Roman" w:cs="Times New Roman"/>
                <w:sz w:val="24"/>
                <w:szCs w:val="24"/>
              </w:rPr>
              <w:t xml:space="preserve">omists, </w:t>
            </w:r>
            <w:r w:rsidR="0049247A">
              <w:rPr>
                <w:rFonts w:ascii="Times New Roman" w:eastAsia="Times New Roman" w:hAnsi="Times New Roman" w:cs="Times New Roman"/>
                <w:sz w:val="24"/>
                <w:szCs w:val="24"/>
              </w:rPr>
              <w:t>even those who reject many of its tenets.</w:t>
            </w:r>
            <w:r>
              <w:rPr>
                <w:rFonts w:ascii="Times New Roman" w:eastAsia="Times New Roman" w:hAnsi="Times New Roman" w:cs="Times New Roman"/>
                <w:sz w:val="24"/>
                <w:szCs w:val="24"/>
              </w:rPr>
              <w:t xml:space="preserve">  This is </w:t>
            </w:r>
            <w:r w:rsidR="00A6477C">
              <w:rPr>
                <w:rFonts w:ascii="Times New Roman" w:eastAsia="Times New Roman" w:hAnsi="Times New Roman" w:cs="Times New Roman"/>
                <w:sz w:val="24"/>
                <w:szCs w:val="24"/>
              </w:rPr>
              <w:t xml:space="preserve">the </w:t>
            </w:r>
            <w:r w:rsidR="007C3650">
              <w:rPr>
                <w:rFonts w:ascii="Times New Roman" w:eastAsia="Times New Roman" w:hAnsi="Times New Roman" w:cs="Times New Roman"/>
                <w:sz w:val="24"/>
                <w:szCs w:val="24"/>
              </w:rPr>
              <w:t xml:space="preserve">tendency to view deviations of actual from potential as symmetrically distributed </w:t>
            </w:r>
            <w:r w:rsidR="004766D0">
              <w:rPr>
                <w:rFonts w:ascii="Times New Roman" w:eastAsia="Times New Roman" w:hAnsi="Times New Roman" w:cs="Times New Roman"/>
                <w:sz w:val="24"/>
                <w:szCs w:val="24"/>
              </w:rPr>
              <w:t xml:space="preserve">above and below </w:t>
            </w:r>
            <w:r w:rsidR="001C5BCA">
              <w:rPr>
                <w:rFonts w:ascii="Times New Roman" w:eastAsia="Times New Roman" w:hAnsi="Times New Roman" w:cs="Times New Roman"/>
                <w:sz w:val="24"/>
                <w:szCs w:val="24"/>
              </w:rPr>
              <w:t xml:space="preserve">the </w:t>
            </w:r>
            <w:r w:rsidR="004766D0">
              <w:rPr>
                <w:rFonts w:ascii="Times New Roman" w:eastAsia="Times New Roman" w:hAnsi="Times New Roman" w:cs="Times New Roman"/>
                <w:sz w:val="24"/>
                <w:szCs w:val="24"/>
              </w:rPr>
              <w:t>trend</w:t>
            </w:r>
            <w:r w:rsidR="001C5BCA">
              <w:rPr>
                <w:rFonts w:ascii="Times New Roman" w:eastAsia="Times New Roman" w:hAnsi="Times New Roman" w:cs="Times New Roman"/>
                <w:sz w:val="24"/>
                <w:szCs w:val="24"/>
              </w:rPr>
              <w:t xml:space="preserve"> </w:t>
            </w:r>
            <w:r w:rsidR="001C5BCA" w:rsidRPr="00B450A0">
              <w:rPr>
                <w:rFonts w:ascii="Times New Roman" w:eastAsia="Times New Roman" w:hAnsi="Times New Roman" w:cs="Times New Roman"/>
                <w:sz w:val="24"/>
                <w:szCs w:val="24"/>
              </w:rPr>
              <w:t>of potential</w:t>
            </w:r>
            <w:r w:rsidR="004766D0">
              <w:rPr>
                <w:rFonts w:ascii="Times New Roman" w:eastAsia="Times New Roman" w:hAnsi="Times New Roman" w:cs="Times New Roman"/>
                <w:sz w:val="24"/>
                <w:szCs w:val="24"/>
              </w:rPr>
              <w:t>.</w:t>
            </w:r>
            <w:r w:rsidR="0021220C">
              <w:rPr>
                <w:rStyle w:val="FootnoteReference"/>
                <w:rFonts w:ascii="Times New Roman" w:eastAsia="Times New Roman" w:hAnsi="Times New Roman" w:cs="Times New Roman"/>
                <w:sz w:val="24"/>
                <w:szCs w:val="24"/>
              </w:rPr>
              <w:footnoteReference w:id="17"/>
            </w:r>
            <w:r w:rsidR="004766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For the 1920s (and indeed for most of the twentieth century), I assume that mo</w:t>
            </w:r>
            <w:r w:rsidR="00A6477C">
              <w:rPr>
                <w:rFonts w:ascii="Times New Roman" w:eastAsia="Times New Roman" w:hAnsi="Times New Roman" w:cs="Times New Roman"/>
                <w:sz w:val="24"/>
                <w:szCs w:val="24"/>
              </w:rPr>
              <w:t xml:space="preserve">st deviations from potential were in the downward direction. </w:t>
            </w:r>
            <w:r>
              <w:rPr>
                <w:rFonts w:ascii="Times New Roman" w:eastAsia="Times New Roman" w:hAnsi="Times New Roman" w:cs="Times New Roman"/>
                <w:sz w:val="24"/>
                <w:szCs w:val="24"/>
              </w:rPr>
              <w:t>Like Taylor and Romer, I reject t</w:t>
            </w:r>
            <w:r w:rsidR="0021220C">
              <w:rPr>
                <w:rFonts w:ascii="Times New Roman" w:eastAsia="Times New Roman" w:hAnsi="Times New Roman" w:cs="Times New Roman"/>
                <w:sz w:val="24"/>
                <w:szCs w:val="24"/>
              </w:rPr>
              <w:t>he RBC presumption that act</w:t>
            </w:r>
            <w:r w:rsidR="007C3650">
              <w:rPr>
                <w:rFonts w:ascii="Times New Roman" w:eastAsia="Times New Roman" w:hAnsi="Times New Roman" w:cs="Times New Roman"/>
                <w:sz w:val="24"/>
                <w:szCs w:val="24"/>
              </w:rPr>
              <w:t xml:space="preserve">ual </w:t>
            </w:r>
            <w:r w:rsidR="00A6477C">
              <w:rPr>
                <w:rFonts w:ascii="Times New Roman" w:eastAsia="Times New Roman" w:hAnsi="Times New Roman" w:cs="Times New Roman"/>
                <w:sz w:val="24"/>
                <w:szCs w:val="24"/>
              </w:rPr>
              <w:t xml:space="preserve">almost </w:t>
            </w:r>
            <w:r w:rsidR="007C3650">
              <w:rPr>
                <w:rFonts w:ascii="Times New Roman" w:eastAsia="Times New Roman" w:hAnsi="Times New Roman" w:cs="Times New Roman"/>
                <w:sz w:val="24"/>
                <w:szCs w:val="24"/>
              </w:rPr>
              <w:t xml:space="preserve">always equals potential, and </w:t>
            </w:r>
            <w:r w:rsidR="0057566A">
              <w:rPr>
                <w:rFonts w:ascii="Times New Roman" w:eastAsia="Times New Roman" w:hAnsi="Times New Roman" w:cs="Times New Roman"/>
                <w:sz w:val="24"/>
                <w:szCs w:val="24"/>
              </w:rPr>
              <w:t xml:space="preserve">embrace </w:t>
            </w:r>
            <w:r w:rsidR="0021220C">
              <w:rPr>
                <w:rFonts w:ascii="Times New Roman" w:eastAsia="Times New Roman" w:hAnsi="Times New Roman" w:cs="Times New Roman"/>
                <w:sz w:val="24"/>
                <w:szCs w:val="24"/>
              </w:rPr>
              <w:t xml:space="preserve">the more traditional (and in my view, </w:t>
            </w:r>
            <w:r w:rsidR="007C3650">
              <w:rPr>
                <w:rFonts w:ascii="Times New Roman" w:eastAsia="Times New Roman" w:hAnsi="Times New Roman" w:cs="Times New Roman"/>
                <w:sz w:val="24"/>
                <w:szCs w:val="24"/>
              </w:rPr>
              <w:t xml:space="preserve">more </w:t>
            </w:r>
            <w:r w:rsidR="0021220C">
              <w:rPr>
                <w:rFonts w:ascii="Times New Roman" w:eastAsia="Times New Roman" w:hAnsi="Times New Roman" w:cs="Times New Roman"/>
                <w:sz w:val="24"/>
                <w:szCs w:val="24"/>
              </w:rPr>
              <w:t>real</w:t>
            </w:r>
            <w:r w:rsidR="0057566A">
              <w:rPr>
                <w:rFonts w:ascii="Times New Roman" w:eastAsia="Times New Roman" w:hAnsi="Times New Roman" w:cs="Times New Roman"/>
                <w:sz w:val="24"/>
                <w:szCs w:val="24"/>
              </w:rPr>
              <w:t>istic) Okun</w:t>
            </w:r>
            <w:r w:rsidR="00E84921">
              <w:rPr>
                <w:rFonts w:ascii="Times New Roman" w:eastAsia="Times New Roman" w:hAnsi="Times New Roman" w:cs="Times New Roman"/>
                <w:sz w:val="24"/>
                <w:szCs w:val="24"/>
              </w:rPr>
              <w:t>/Friedman</w:t>
            </w:r>
            <w:r w:rsidR="0057566A">
              <w:rPr>
                <w:rFonts w:ascii="Times New Roman" w:eastAsia="Times New Roman" w:hAnsi="Times New Roman" w:cs="Times New Roman"/>
                <w:sz w:val="24"/>
                <w:szCs w:val="24"/>
              </w:rPr>
              <w:t xml:space="preserve"> assumptions. B</w:t>
            </w:r>
            <w:r w:rsidR="007C3650">
              <w:rPr>
                <w:rFonts w:ascii="Times New Roman" w:eastAsia="Times New Roman" w:hAnsi="Times New Roman" w:cs="Times New Roman"/>
                <w:sz w:val="24"/>
                <w:szCs w:val="24"/>
              </w:rPr>
              <w:t>e</w:t>
            </w:r>
            <w:r w:rsidR="004766D0">
              <w:rPr>
                <w:rFonts w:ascii="Times New Roman" w:eastAsia="Times New Roman" w:hAnsi="Times New Roman" w:cs="Times New Roman"/>
                <w:sz w:val="24"/>
                <w:szCs w:val="24"/>
              </w:rPr>
              <w:t xml:space="preserve">low the trend of potential </w:t>
            </w:r>
            <w:r w:rsidR="00674E43">
              <w:rPr>
                <w:rFonts w:ascii="Times New Roman" w:eastAsia="Times New Roman" w:hAnsi="Times New Roman" w:cs="Times New Roman"/>
                <w:sz w:val="24"/>
                <w:szCs w:val="24"/>
              </w:rPr>
              <w:t>Taylor, Romer and I assume</w:t>
            </w:r>
            <w:r w:rsidR="004766D0">
              <w:rPr>
                <w:rFonts w:ascii="Times New Roman" w:eastAsia="Times New Roman" w:hAnsi="Times New Roman" w:cs="Times New Roman"/>
                <w:sz w:val="24"/>
                <w:szCs w:val="24"/>
              </w:rPr>
              <w:t xml:space="preserve"> an un</w:t>
            </w:r>
            <w:r w:rsidR="00521DFE">
              <w:rPr>
                <w:rFonts w:ascii="Times New Roman" w:eastAsia="Times New Roman" w:hAnsi="Times New Roman" w:cs="Times New Roman"/>
                <w:sz w:val="24"/>
                <w:szCs w:val="24"/>
              </w:rPr>
              <w:t>us</w:t>
            </w:r>
            <w:r w:rsidR="004766D0">
              <w:rPr>
                <w:rFonts w:ascii="Times New Roman" w:eastAsia="Times New Roman" w:hAnsi="Times New Roman" w:cs="Times New Roman"/>
                <w:sz w:val="24"/>
                <w:szCs w:val="24"/>
              </w:rPr>
              <w:t>ed opportunity for non-inflationary growth due to underutilized or unused resources</w:t>
            </w:r>
            <w:r w:rsidR="00521DFE">
              <w:rPr>
                <w:rFonts w:ascii="Times New Roman" w:eastAsia="Times New Roman" w:hAnsi="Times New Roman" w:cs="Times New Roman"/>
                <w:sz w:val="24"/>
                <w:szCs w:val="24"/>
              </w:rPr>
              <w:t>. I am firmer and more explicit, however, in endorsing the views</w:t>
            </w:r>
            <w:r w:rsidR="0047312E">
              <w:rPr>
                <w:rFonts w:ascii="Times New Roman" w:eastAsia="Times New Roman" w:hAnsi="Times New Roman" w:cs="Times New Roman"/>
                <w:sz w:val="24"/>
                <w:szCs w:val="24"/>
              </w:rPr>
              <w:t xml:space="preserve"> that deviations from </w:t>
            </w:r>
            <w:r w:rsidR="0047312E">
              <w:rPr>
                <w:rFonts w:ascii="Times New Roman" w:eastAsia="Times New Roman" w:hAnsi="Times New Roman" w:cs="Times New Roman"/>
                <w:sz w:val="24"/>
                <w:szCs w:val="24"/>
              </w:rPr>
              <w:lastRenderedPageBreak/>
              <w:t xml:space="preserve">potential are asymmetrically distributed below potential, and that for </w:t>
            </w:r>
            <w:r w:rsidR="007C3650">
              <w:rPr>
                <w:rFonts w:ascii="Times New Roman" w:eastAsia="Times New Roman" w:hAnsi="Times New Roman" w:cs="Times New Roman"/>
                <w:sz w:val="24"/>
                <w:szCs w:val="24"/>
              </w:rPr>
              <w:t>the</w:t>
            </w:r>
            <w:r w:rsidR="0021220C">
              <w:rPr>
                <w:rFonts w:ascii="Times New Roman" w:eastAsia="Times New Roman" w:hAnsi="Times New Roman" w:cs="Times New Roman"/>
                <w:sz w:val="24"/>
                <w:szCs w:val="24"/>
              </w:rPr>
              <w:t xml:space="preserve"> economy to </w:t>
            </w:r>
            <w:r w:rsidR="00521DFE">
              <w:rPr>
                <w:rFonts w:ascii="Times New Roman" w:eastAsia="Times New Roman" w:hAnsi="Times New Roman" w:cs="Times New Roman"/>
                <w:sz w:val="24"/>
                <w:szCs w:val="24"/>
              </w:rPr>
              <w:t xml:space="preserve">be </w:t>
            </w:r>
            <w:r w:rsidR="0047312E">
              <w:rPr>
                <w:rFonts w:ascii="Times New Roman" w:eastAsia="Times New Roman" w:hAnsi="Times New Roman" w:cs="Times New Roman"/>
                <w:sz w:val="24"/>
                <w:szCs w:val="24"/>
              </w:rPr>
              <w:t xml:space="preserve">identified as </w:t>
            </w:r>
            <w:r w:rsidR="0021220C">
              <w:rPr>
                <w:rFonts w:ascii="Times New Roman" w:eastAsia="Times New Roman" w:hAnsi="Times New Roman" w:cs="Times New Roman"/>
                <w:sz w:val="24"/>
                <w:szCs w:val="24"/>
              </w:rPr>
              <w:t>above potential</w:t>
            </w:r>
            <w:r w:rsidR="00521DFE">
              <w:rPr>
                <w:rFonts w:ascii="Times New Roman" w:eastAsia="Times New Roman" w:hAnsi="Times New Roman" w:cs="Times New Roman"/>
                <w:sz w:val="24"/>
                <w:szCs w:val="24"/>
              </w:rPr>
              <w:t>,</w:t>
            </w:r>
            <w:r w:rsidR="0021220C">
              <w:rPr>
                <w:rFonts w:ascii="Times New Roman" w:eastAsia="Times New Roman" w:hAnsi="Times New Roman" w:cs="Times New Roman"/>
                <w:sz w:val="24"/>
                <w:szCs w:val="24"/>
              </w:rPr>
              <w:t xml:space="preserve"> we must see evidence of a</w:t>
            </w:r>
            <w:r w:rsidR="004766D0">
              <w:rPr>
                <w:rFonts w:ascii="Times New Roman" w:eastAsia="Times New Roman" w:hAnsi="Times New Roman" w:cs="Times New Roman"/>
                <w:sz w:val="24"/>
                <w:szCs w:val="24"/>
              </w:rPr>
              <w:t>n accel</w:t>
            </w:r>
            <w:r w:rsidR="00674E43">
              <w:rPr>
                <w:rFonts w:ascii="Times New Roman" w:eastAsia="Times New Roman" w:hAnsi="Times New Roman" w:cs="Times New Roman"/>
                <w:sz w:val="24"/>
                <w:szCs w:val="24"/>
              </w:rPr>
              <w:t>eration in the inflation rate.</w:t>
            </w:r>
            <w:r w:rsidR="0047312E">
              <w:rPr>
                <w:rStyle w:val="FootnoteReference"/>
                <w:rFonts w:ascii="Times New Roman" w:eastAsia="Times New Roman" w:hAnsi="Times New Roman" w:cs="Times New Roman"/>
                <w:sz w:val="24"/>
                <w:szCs w:val="24"/>
              </w:rPr>
              <w:footnoteReference w:id="18"/>
            </w:r>
            <w:r w:rsidR="00674E43">
              <w:rPr>
                <w:rFonts w:ascii="Times New Roman" w:eastAsia="Times New Roman" w:hAnsi="Times New Roman" w:cs="Times New Roman"/>
                <w:sz w:val="24"/>
                <w:szCs w:val="24"/>
              </w:rPr>
              <w:t xml:space="preserve">  </w:t>
            </w:r>
          </w:p>
          <w:p w14:paraId="6B194E9B" w14:textId="117D0BFA" w:rsidR="009C3DDD" w:rsidRDefault="00A6477C">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Finally, for simplicity’s sake, I assume that the evolution of potential is relatively smooth over short periods, such as a decade: linear in logs. </w:t>
            </w:r>
            <w:r w:rsidR="00151716">
              <w:rPr>
                <w:rFonts w:ascii="Times New Roman" w:eastAsia="Times New Roman" w:hAnsi="Times New Roman" w:cs="Times New Roman"/>
                <w:sz w:val="24"/>
                <w:szCs w:val="24"/>
              </w:rPr>
              <w:t>T</w:t>
            </w:r>
            <w:r w:rsidR="00674E43">
              <w:rPr>
                <w:rFonts w:ascii="Times New Roman" w:eastAsia="Times New Roman" w:hAnsi="Times New Roman" w:cs="Times New Roman"/>
                <w:sz w:val="24"/>
                <w:szCs w:val="24"/>
              </w:rPr>
              <w:t>hese assumptions are</w:t>
            </w:r>
            <w:r w:rsidR="0021220C">
              <w:rPr>
                <w:rFonts w:ascii="Times New Roman" w:eastAsia="Times New Roman" w:hAnsi="Times New Roman" w:cs="Times New Roman"/>
                <w:sz w:val="24"/>
                <w:szCs w:val="24"/>
              </w:rPr>
              <w:t xml:space="preserve"> likely to be more realistic than the RBC view th</w:t>
            </w:r>
            <w:r w:rsidR="00674E43">
              <w:rPr>
                <w:rFonts w:ascii="Times New Roman" w:eastAsia="Times New Roman" w:hAnsi="Times New Roman" w:cs="Times New Roman"/>
                <w:sz w:val="24"/>
                <w:szCs w:val="24"/>
              </w:rPr>
              <w:t>at the cycle reflects short run</w:t>
            </w:r>
            <w:r w:rsidR="0021220C">
              <w:rPr>
                <w:rFonts w:ascii="Times New Roman" w:eastAsia="Times New Roman" w:hAnsi="Times New Roman" w:cs="Times New Roman"/>
                <w:sz w:val="24"/>
                <w:szCs w:val="24"/>
              </w:rPr>
              <w:t xml:space="preserve"> variability in the </w:t>
            </w:r>
            <w:r w:rsidR="00674E43">
              <w:rPr>
                <w:rFonts w:ascii="Times New Roman" w:eastAsia="Times New Roman" w:hAnsi="Times New Roman" w:cs="Times New Roman"/>
                <w:sz w:val="24"/>
                <w:szCs w:val="24"/>
              </w:rPr>
              <w:t xml:space="preserve">rate of growth of </w:t>
            </w:r>
            <w:r w:rsidR="0021220C">
              <w:rPr>
                <w:rFonts w:ascii="Times New Roman" w:eastAsia="Times New Roman" w:hAnsi="Times New Roman" w:cs="Times New Roman"/>
                <w:sz w:val="24"/>
                <w:szCs w:val="24"/>
              </w:rPr>
              <w:t>potential.  F</w:t>
            </w:r>
            <w:r w:rsidR="004766D0">
              <w:rPr>
                <w:rFonts w:ascii="Times New Roman" w:eastAsia="Times New Roman" w:hAnsi="Times New Roman" w:cs="Times New Roman"/>
                <w:sz w:val="24"/>
                <w:szCs w:val="24"/>
              </w:rPr>
              <w:t xml:space="preserve">or a large economy we can expect the </w:t>
            </w:r>
            <w:r w:rsidR="005C3787">
              <w:rPr>
                <w:rFonts w:ascii="Times New Roman" w:eastAsia="Times New Roman" w:hAnsi="Times New Roman" w:cs="Times New Roman"/>
                <w:sz w:val="24"/>
                <w:szCs w:val="24"/>
              </w:rPr>
              <w:t xml:space="preserve">arrival of positive supply </w:t>
            </w:r>
            <w:r w:rsidR="007F39BF">
              <w:rPr>
                <w:rFonts w:ascii="Times New Roman" w:eastAsia="Times New Roman" w:hAnsi="Times New Roman" w:cs="Times New Roman"/>
                <w:sz w:val="24"/>
                <w:szCs w:val="24"/>
              </w:rPr>
              <w:t>shocks to sum to a reasonably</w:t>
            </w:r>
            <w:r w:rsidR="005C3787">
              <w:rPr>
                <w:rFonts w:ascii="Times New Roman" w:eastAsia="Times New Roman" w:hAnsi="Times New Roman" w:cs="Times New Roman"/>
                <w:sz w:val="24"/>
                <w:szCs w:val="24"/>
              </w:rPr>
              <w:t xml:space="preserve"> steady rate.  In reverting to the Burns-Mitchell-Kuznets tradition of measuring potential from non-inflationary peak to non-inflationary peak, I discard the assumption of symmetric distribution of deviations above and below trend, and insist that </w:t>
            </w:r>
            <w:r w:rsidR="009C3DDD">
              <w:rPr>
                <w:rFonts w:ascii="Times New Roman" w:eastAsia="Times New Roman" w:hAnsi="Times New Roman" w:cs="Times New Roman"/>
                <w:sz w:val="24"/>
                <w:szCs w:val="24"/>
              </w:rPr>
              <w:t xml:space="preserve">we strictly adhere to this rule: </w:t>
            </w:r>
            <w:r w:rsidR="005C3787">
              <w:rPr>
                <w:rFonts w:ascii="Times New Roman" w:eastAsia="Times New Roman" w:hAnsi="Times New Roman" w:cs="Times New Roman"/>
                <w:sz w:val="24"/>
                <w:szCs w:val="24"/>
              </w:rPr>
              <w:t>a claim</w:t>
            </w:r>
            <w:r w:rsidR="009C3DDD">
              <w:rPr>
                <w:rFonts w:ascii="Times New Roman" w:eastAsia="Times New Roman" w:hAnsi="Times New Roman" w:cs="Times New Roman"/>
                <w:sz w:val="24"/>
                <w:szCs w:val="24"/>
              </w:rPr>
              <w:t xml:space="preserve"> that an economy is above potential </w:t>
            </w:r>
            <w:r w:rsidR="005C3787">
              <w:rPr>
                <w:rFonts w:ascii="Times New Roman" w:eastAsia="Times New Roman" w:hAnsi="Times New Roman" w:cs="Times New Roman"/>
                <w:sz w:val="24"/>
                <w:szCs w:val="24"/>
              </w:rPr>
              <w:t xml:space="preserve">must be accompanied by evidence of accelerating goods and services inflation.  </w:t>
            </w:r>
          </w:p>
          <w:p w14:paraId="2D5385B5" w14:textId="6F2B545D" w:rsidR="005C3787" w:rsidRPr="00784D44" w:rsidRDefault="005C378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365C4">
              <w:rPr>
                <w:rFonts w:ascii="Times New Roman" w:eastAsia="Times New Roman" w:hAnsi="Times New Roman" w:cs="Times New Roman"/>
                <w:sz w:val="24"/>
                <w:szCs w:val="24"/>
              </w:rPr>
              <w:t>Belaboring this point</w:t>
            </w:r>
            <w:r w:rsidR="00BD6E45">
              <w:rPr>
                <w:rFonts w:ascii="Times New Roman" w:eastAsia="Times New Roman" w:hAnsi="Times New Roman" w:cs="Times New Roman"/>
                <w:sz w:val="24"/>
                <w:szCs w:val="24"/>
              </w:rPr>
              <w:t xml:space="preserve"> is im</w:t>
            </w:r>
            <w:r>
              <w:rPr>
                <w:rFonts w:ascii="Times New Roman" w:eastAsia="Times New Roman" w:hAnsi="Times New Roman" w:cs="Times New Roman"/>
                <w:sz w:val="24"/>
                <w:szCs w:val="24"/>
              </w:rPr>
              <w:t xml:space="preserve">portant, because there is a recurring tendency </w:t>
            </w:r>
            <w:r w:rsidR="00784D44">
              <w:rPr>
                <w:rFonts w:ascii="Times New Roman" w:eastAsia="Times New Roman" w:hAnsi="Times New Roman" w:cs="Times New Roman"/>
                <w:sz w:val="24"/>
                <w:szCs w:val="24"/>
              </w:rPr>
              <w:t>to view any period of above average growth and/or low unemployment as “above potential.</w:t>
            </w:r>
            <w:r w:rsidR="00551AC1">
              <w:rPr>
                <w:rFonts w:ascii="Times New Roman" w:eastAsia="Times New Roman" w:hAnsi="Times New Roman" w:cs="Times New Roman"/>
                <w:sz w:val="24"/>
                <w:szCs w:val="24"/>
              </w:rPr>
              <w:t xml:space="preserve">”  </w:t>
            </w:r>
            <w:r w:rsidR="002369F8">
              <w:rPr>
                <w:rFonts w:ascii="Times New Roman" w:eastAsia="Times New Roman" w:hAnsi="Times New Roman" w:cs="Times New Roman"/>
                <w:sz w:val="24"/>
                <w:szCs w:val="24"/>
              </w:rPr>
              <w:t>We have already seen this in Orphanides’ remark about 1929.  A more recent instance comes from</w:t>
            </w:r>
            <w:r w:rsidR="00551AC1">
              <w:rPr>
                <w:rFonts w:ascii="Times New Roman" w:eastAsia="Times New Roman" w:hAnsi="Times New Roman" w:cs="Times New Roman"/>
                <w:sz w:val="24"/>
                <w:szCs w:val="24"/>
              </w:rPr>
              <w:t xml:space="preserve">, James Bullard, president of the St. Louis Fed, </w:t>
            </w:r>
            <w:r w:rsidR="002369F8">
              <w:rPr>
                <w:rFonts w:ascii="Times New Roman" w:eastAsia="Times New Roman" w:hAnsi="Times New Roman" w:cs="Times New Roman"/>
                <w:sz w:val="24"/>
                <w:szCs w:val="24"/>
              </w:rPr>
              <w:t xml:space="preserve">who </w:t>
            </w:r>
            <w:r w:rsidR="00551AC1">
              <w:rPr>
                <w:rFonts w:ascii="Times New Roman" w:eastAsia="Times New Roman" w:hAnsi="Times New Roman" w:cs="Times New Roman"/>
                <w:sz w:val="24"/>
                <w:szCs w:val="24"/>
              </w:rPr>
              <w:t xml:space="preserve">has made this argument about the period prior to the financial crisis in the US, in spite of the absence of strong inflationary pressures.  </w:t>
            </w:r>
            <w:r w:rsidR="002369F8">
              <w:rPr>
                <w:rFonts w:ascii="Times New Roman" w:eastAsia="Times New Roman" w:hAnsi="Times New Roman" w:cs="Times New Roman"/>
                <w:sz w:val="24"/>
                <w:szCs w:val="24"/>
              </w:rPr>
              <w:t>John Cochrane has made similar arguments</w:t>
            </w:r>
            <w:r>
              <w:rPr>
                <w:rFonts w:ascii="Times New Roman" w:eastAsia="Times New Roman" w:hAnsi="Times New Roman" w:cs="Times New Roman"/>
                <w:sz w:val="24"/>
                <w:szCs w:val="24"/>
              </w:rPr>
              <w:t xml:space="preserve">.  Without the evidence of an acceleration of inflation, </w:t>
            </w:r>
            <w:r w:rsidR="009C3DDD">
              <w:rPr>
                <w:rFonts w:ascii="Times New Roman" w:eastAsia="Times New Roman" w:hAnsi="Times New Roman" w:cs="Times New Roman"/>
                <w:sz w:val="24"/>
                <w:szCs w:val="24"/>
              </w:rPr>
              <w:t>however,</w:t>
            </w:r>
            <w:r w:rsidR="00151716">
              <w:rPr>
                <w:rFonts w:ascii="Times New Roman" w:eastAsia="Times New Roman" w:hAnsi="Times New Roman" w:cs="Times New Roman"/>
                <w:sz w:val="24"/>
                <w:szCs w:val="24"/>
              </w:rPr>
              <w:t xml:space="preserve"> </w:t>
            </w:r>
            <w:r w:rsidR="009C3DDD">
              <w:rPr>
                <w:rFonts w:ascii="Times New Roman" w:eastAsia="Times New Roman" w:hAnsi="Times New Roman" w:cs="Times New Roman"/>
                <w:sz w:val="24"/>
                <w:szCs w:val="24"/>
              </w:rPr>
              <w:t xml:space="preserve">the argument </w:t>
            </w:r>
            <w:r w:rsidR="00E84921">
              <w:rPr>
                <w:rFonts w:ascii="Times New Roman" w:eastAsia="Times New Roman" w:hAnsi="Times New Roman" w:cs="Times New Roman"/>
                <w:sz w:val="24"/>
                <w:szCs w:val="24"/>
              </w:rPr>
              <w:t xml:space="preserve">is </w:t>
            </w:r>
            <w:r w:rsidR="005365C4">
              <w:rPr>
                <w:rFonts w:ascii="Times New Roman" w:eastAsia="Times New Roman" w:hAnsi="Times New Roman" w:cs="Times New Roman"/>
                <w:sz w:val="24"/>
                <w:szCs w:val="24"/>
              </w:rPr>
              <w:t>problematic</w:t>
            </w:r>
            <w:r>
              <w:rPr>
                <w:rFonts w:ascii="Times New Roman" w:eastAsia="Times New Roman" w:hAnsi="Times New Roman" w:cs="Times New Roman"/>
                <w:sz w:val="24"/>
                <w:szCs w:val="24"/>
              </w:rPr>
              <w:t>.</w:t>
            </w:r>
            <w:r w:rsidR="00873925">
              <w:rPr>
                <w:rStyle w:val="FootnoteReference"/>
                <w:rFonts w:ascii="Times New Roman" w:eastAsia="Times New Roman" w:hAnsi="Times New Roman" w:cs="Times New Roman"/>
                <w:sz w:val="24"/>
                <w:szCs w:val="24"/>
              </w:rPr>
              <w:footnoteReference w:id="19"/>
            </w:r>
            <w:r>
              <w:rPr>
                <w:rFonts w:ascii="Times New Roman" w:eastAsia="Times New Roman" w:hAnsi="Times New Roman" w:cs="Times New Roman"/>
                <w:sz w:val="24"/>
                <w:szCs w:val="24"/>
              </w:rPr>
              <w:t xml:space="preserve">  </w:t>
            </w:r>
          </w:p>
          <w:p w14:paraId="3E039477" w14:textId="0BFDEA50" w:rsidR="007B2E6E" w:rsidRPr="009F3FFE" w:rsidRDefault="007B2E6E">
            <w:pPr>
              <w:spacing w:line="480" w:lineRule="auto"/>
              <w:ind w:firstLine="576"/>
              <w:rPr>
                <w:rFonts w:ascii="Times New Roman" w:hAnsi="Times New Roman" w:cs="Times New Roman"/>
                <w:sz w:val="24"/>
                <w:szCs w:val="24"/>
              </w:rPr>
            </w:pPr>
            <w:r w:rsidRPr="009F3FFE">
              <w:rPr>
                <w:rFonts w:ascii="Times New Roman" w:hAnsi="Times New Roman" w:cs="Times New Roman"/>
                <w:noProof/>
                <w:sz w:val="24"/>
                <w:szCs w:val="24"/>
              </w:rPr>
              <w:lastRenderedPageBreak/>
              <w:drawing>
                <wp:inline distT="0" distB="0" distL="0" distR="0" wp14:anchorId="2712BF21" wp14:editId="2FE78725">
                  <wp:extent cx="5510359" cy="3727450"/>
                  <wp:effectExtent l="0" t="0" r="14605" b="63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27852E9" w14:textId="42483664" w:rsidR="00046F74" w:rsidRPr="009F3FFE" w:rsidRDefault="00984604">
            <w:pPr>
              <w:spacing w:line="480" w:lineRule="auto"/>
              <w:ind w:firstLine="576"/>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Figure 3</w:t>
            </w:r>
            <w:r w:rsidRPr="009F3FFE">
              <w:rPr>
                <w:rFonts w:ascii="Times New Roman" w:hAnsi="Times New Roman" w:cs="Times New Roman"/>
                <w:sz w:val="24"/>
                <w:szCs w:val="24"/>
              </w:rPr>
              <w:t xml:space="preserve"> shows the trajectory of potential industrial production relative to actual </w:t>
            </w:r>
            <w:r w:rsidR="00D25232">
              <w:rPr>
                <w:rFonts w:ascii="Times New Roman" w:hAnsi="Times New Roman" w:cs="Times New Roman"/>
                <w:sz w:val="24"/>
                <w:szCs w:val="24"/>
              </w:rPr>
              <w:t xml:space="preserve">industrial production </w:t>
            </w:r>
            <w:r>
              <w:rPr>
                <w:rFonts w:ascii="Times New Roman" w:hAnsi="Times New Roman" w:cs="Times New Roman"/>
                <w:sz w:val="24"/>
                <w:szCs w:val="24"/>
              </w:rPr>
              <w:t>as described in the text</w:t>
            </w:r>
            <w:r w:rsidRPr="009F3FFE">
              <w:rPr>
                <w:rFonts w:ascii="Times New Roman" w:hAnsi="Times New Roman" w:cs="Times New Roman"/>
                <w:sz w:val="24"/>
                <w:szCs w:val="24"/>
              </w:rPr>
              <w:t>.</w:t>
            </w:r>
            <w:r w:rsidR="00D25232">
              <w:rPr>
                <w:rFonts w:ascii="Times New Roman" w:hAnsi="Times New Roman" w:cs="Times New Roman"/>
                <w:sz w:val="24"/>
                <w:szCs w:val="24"/>
              </w:rPr>
              <w:t xml:space="preserve"> </w:t>
            </w:r>
            <w:r w:rsidR="004415EE" w:rsidRPr="009F3FFE">
              <w:rPr>
                <w:rFonts w:ascii="Times New Roman" w:hAnsi="Times New Roman" w:cs="Times New Roman"/>
                <w:sz w:val="24"/>
                <w:szCs w:val="24"/>
              </w:rPr>
              <w:t>The questi</w:t>
            </w:r>
            <w:r w:rsidR="00C72220">
              <w:rPr>
                <w:rFonts w:ascii="Times New Roman" w:hAnsi="Times New Roman" w:cs="Times New Roman"/>
                <w:sz w:val="24"/>
                <w:szCs w:val="24"/>
              </w:rPr>
              <w:t>on now is how much do we</w:t>
            </w:r>
            <w:r w:rsidR="004415EE" w:rsidRPr="009F3FFE">
              <w:rPr>
                <w:rFonts w:ascii="Times New Roman" w:hAnsi="Times New Roman" w:cs="Times New Roman"/>
                <w:sz w:val="24"/>
                <w:szCs w:val="24"/>
              </w:rPr>
              <w:t xml:space="preserve"> assume GNP declined for a given percentage decline in indu</w:t>
            </w:r>
            <w:r w:rsidR="00C72220">
              <w:rPr>
                <w:rFonts w:ascii="Times New Roman" w:hAnsi="Times New Roman" w:cs="Times New Roman"/>
                <w:sz w:val="24"/>
                <w:szCs w:val="24"/>
              </w:rPr>
              <w:t xml:space="preserve">strial production.  </w:t>
            </w:r>
            <w:r w:rsidR="00330168">
              <w:rPr>
                <w:rFonts w:ascii="Times New Roman" w:hAnsi="Times New Roman" w:cs="Times New Roman"/>
                <w:sz w:val="24"/>
                <w:szCs w:val="24"/>
              </w:rPr>
              <w:t>Given</w:t>
            </w:r>
            <w:r w:rsidR="004415EE" w:rsidRPr="009F3FFE">
              <w:rPr>
                <w:rFonts w:ascii="Times New Roman" w:hAnsi="Times New Roman" w:cs="Times New Roman"/>
                <w:sz w:val="24"/>
                <w:szCs w:val="24"/>
              </w:rPr>
              <w:t xml:space="preserve"> Romer’s work, I will assume an elasticity of .55</w:t>
            </w:r>
            <w:r w:rsidR="00330168">
              <w:rPr>
                <w:rFonts w:ascii="Times New Roman" w:hAnsi="Times New Roman" w:cs="Times New Roman"/>
                <w:sz w:val="24"/>
                <w:szCs w:val="24"/>
              </w:rPr>
              <w:t>, about midway between her point estimate for 1909 and 1985</w:t>
            </w:r>
            <w:r w:rsidR="004415EE" w:rsidRPr="009F3FFE">
              <w:rPr>
                <w:rFonts w:ascii="Times New Roman" w:hAnsi="Times New Roman" w:cs="Times New Roman"/>
                <w:sz w:val="24"/>
                <w:szCs w:val="24"/>
              </w:rPr>
              <w:t xml:space="preserve">. </w:t>
            </w:r>
            <w:r w:rsidR="00330168">
              <w:rPr>
                <w:rFonts w:ascii="Times New Roman" w:hAnsi="Times New Roman" w:cs="Times New Roman"/>
                <w:sz w:val="24"/>
                <w:szCs w:val="24"/>
              </w:rPr>
              <w:t xml:space="preserve"> T</w:t>
            </w:r>
            <w:r w:rsidR="004415EE" w:rsidRPr="009F3FFE">
              <w:rPr>
                <w:rFonts w:ascii="Times New Roman" w:hAnsi="Times New Roman" w:cs="Times New Roman"/>
                <w:sz w:val="24"/>
                <w:szCs w:val="24"/>
              </w:rPr>
              <w:t>his is a conservative assumpt</w:t>
            </w:r>
            <w:r w:rsidR="009C3DDD">
              <w:rPr>
                <w:rFonts w:ascii="Times New Roman" w:hAnsi="Times New Roman" w:cs="Times New Roman"/>
                <w:sz w:val="24"/>
                <w:szCs w:val="24"/>
              </w:rPr>
              <w:t>ion that will bolster the arguments</w:t>
            </w:r>
            <w:r w:rsidR="004415EE" w:rsidRPr="009F3FFE">
              <w:rPr>
                <w:rFonts w:ascii="Times New Roman" w:hAnsi="Times New Roman" w:cs="Times New Roman"/>
                <w:sz w:val="24"/>
                <w:szCs w:val="24"/>
              </w:rPr>
              <w:t xml:space="preserve"> made later in the paper.  We can now plot a month</w:t>
            </w:r>
            <w:r w:rsidR="00330168">
              <w:rPr>
                <w:rFonts w:ascii="Times New Roman" w:hAnsi="Times New Roman" w:cs="Times New Roman"/>
                <w:sz w:val="24"/>
                <w:szCs w:val="24"/>
              </w:rPr>
              <w:t>ly</w:t>
            </w:r>
            <w:r w:rsidR="004415EE" w:rsidRPr="009F3FFE">
              <w:rPr>
                <w:rFonts w:ascii="Times New Roman" w:hAnsi="Times New Roman" w:cs="Times New Roman"/>
                <w:sz w:val="24"/>
                <w:szCs w:val="24"/>
              </w:rPr>
              <w:t xml:space="preserve"> series of estimated deviations of GNP fro</w:t>
            </w:r>
            <w:r w:rsidR="00330168">
              <w:rPr>
                <w:rFonts w:ascii="Times New Roman" w:hAnsi="Times New Roman" w:cs="Times New Roman"/>
                <w:sz w:val="24"/>
                <w:szCs w:val="24"/>
              </w:rPr>
              <w:t>m potential, and compare it with</w:t>
            </w:r>
            <w:r w:rsidR="004415EE" w:rsidRPr="009F3FFE">
              <w:rPr>
                <w:rFonts w:ascii="Times New Roman" w:hAnsi="Times New Roman" w:cs="Times New Roman"/>
                <w:sz w:val="24"/>
                <w:szCs w:val="24"/>
              </w:rPr>
              <w:t xml:space="preserve"> the annual estimates of the output gap reflected in figure 1</w:t>
            </w:r>
            <w:r w:rsidR="00D25232">
              <w:rPr>
                <w:rFonts w:ascii="Times New Roman" w:hAnsi="Times New Roman" w:cs="Times New Roman"/>
                <w:sz w:val="24"/>
                <w:szCs w:val="24"/>
              </w:rPr>
              <w:t xml:space="preserve"> (figure 4)</w:t>
            </w:r>
            <w:r w:rsidR="004415EE" w:rsidRPr="009F3FFE">
              <w:rPr>
                <w:rFonts w:ascii="Times New Roman" w:hAnsi="Times New Roman" w:cs="Times New Roman"/>
                <w:sz w:val="24"/>
                <w:szCs w:val="24"/>
              </w:rPr>
              <w:t xml:space="preserve">.  </w:t>
            </w:r>
            <w:r w:rsidR="00AB0D97" w:rsidRPr="009F3FFE">
              <w:rPr>
                <w:rFonts w:ascii="Times New Roman" w:hAnsi="Times New Roman" w:cs="Times New Roman"/>
                <w:sz w:val="24"/>
                <w:szCs w:val="24"/>
              </w:rPr>
              <w:t xml:space="preserve"> </w:t>
            </w:r>
          </w:p>
          <w:p w14:paraId="60345B29" w14:textId="608248E1" w:rsidR="00046F74" w:rsidRPr="009F3FFE" w:rsidRDefault="00046F74">
            <w:pPr>
              <w:spacing w:line="480" w:lineRule="auto"/>
              <w:ind w:firstLine="576"/>
              <w:rPr>
                <w:rFonts w:ascii="Times New Roman" w:hAnsi="Times New Roman" w:cs="Times New Roman"/>
                <w:sz w:val="24"/>
                <w:szCs w:val="24"/>
              </w:rPr>
            </w:pPr>
            <w:r w:rsidRPr="009F3FFE">
              <w:rPr>
                <w:rFonts w:ascii="Times New Roman" w:hAnsi="Times New Roman" w:cs="Times New Roman"/>
                <w:noProof/>
                <w:sz w:val="24"/>
                <w:szCs w:val="24"/>
              </w:rPr>
              <w:lastRenderedPageBreak/>
              <w:drawing>
                <wp:inline distT="0" distB="0" distL="0" distR="0" wp14:anchorId="0132C81E" wp14:editId="55DD33C5">
                  <wp:extent cx="5546090" cy="4184678"/>
                  <wp:effectExtent l="0" t="0" r="16510" b="635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F120D54" w14:textId="5A63578D" w:rsidR="008D78ED" w:rsidRDefault="003D6B75">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 xml:space="preserve">What do we make of this figure?  Does it make sense that in spite of a conservative estimate of elasticity, the absolute value of monthly output gaps are generally larger and have more variance than are estimates based </w:t>
            </w:r>
            <w:r w:rsidR="008D78ED">
              <w:rPr>
                <w:rFonts w:ascii="Times New Roman" w:hAnsi="Times New Roman" w:cs="Times New Roman"/>
                <w:sz w:val="24"/>
                <w:szCs w:val="24"/>
              </w:rPr>
              <w:t>on annual data?  I think so</w:t>
            </w:r>
            <w:r w:rsidRPr="009F3FFE">
              <w:rPr>
                <w:rFonts w:ascii="Times New Roman" w:hAnsi="Times New Roman" w:cs="Times New Roman"/>
                <w:sz w:val="24"/>
                <w:szCs w:val="24"/>
              </w:rPr>
              <w:t>.  Fi</w:t>
            </w:r>
            <w:r w:rsidR="008D78ED">
              <w:rPr>
                <w:rFonts w:ascii="Times New Roman" w:hAnsi="Times New Roman" w:cs="Times New Roman"/>
                <w:sz w:val="24"/>
                <w:szCs w:val="24"/>
              </w:rPr>
              <w:t>rst of all, output varies over time</w:t>
            </w:r>
            <w:r w:rsidRPr="009F3FFE">
              <w:rPr>
                <w:rFonts w:ascii="Times New Roman" w:hAnsi="Times New Roman" w:cs="Times New Roman"/>
                <w:sz w:val="24"/>
                <w:szCs w:val="24"/>
              </w:rPr>
              <w:t xml:space="preserve"> during a year, and even in a year that we might designate as at </w:t>
            </w:r>
            <w:r w:rsidR="008D78ED">
              <w:rPr>
                <w:rFonts w:ascii="Times New Roman" w:hAnsi="Times New Roman" w:cs="Times New Roman"/>
                <w:sz w:val="24"/>
                <w:szCs w:val="24"/>
              </w:rPr>
              <w:t xml:space="preserve">potential, there will be some months during </w:t>
            </w:r>
            <w:r w:rsidRPr="009F3FFE">
              <w:rPr>
                <w:rFonts w:ascii="Times New Roman" w:hAnsi="Times New Roman" w:cs="Times New Roman"/>
                <w:sz w:val="24"/>
                <w:szCs w:val="24"/>
              </w:rPr>
              <w:t>which the economy will be rising towards a monthly peak, or declining from one.  Thus,</w:t>
            </w:r>
            <w:r w:rsidR="008D78ED">
              <w:rPr>
                <w:rFonts w:ascii="Times New Roman" w:hAnsi="Times New Roman" w:cs="Times New Roman"/>
                <w:sz w:val="24"/>
                <w:szCs w:val="24"/>
              </w:rPr>
              <w:t xml:space="preserve"> a </w:t>
            </w:r>
            <w:r w:rsidRPr="009F3FFE">
              <w:rPr>
                <w:rFonts w:ascii="Times New Roman" w:hAnsi="Times New Roman" w:cs="Times New Roman"/>
                <w:sz w:val="24"/>
                <w:szCs w:val="24"/>
              </w:rPr>
              <w:t>measure of the annual flow of economi</w:t>
            </w:r>
            <w:r w:rsidR="009C3DDD">
              <w:rPr>
                <w:rFonts w:ascii="Times New Roman" w:hAnsi="Times New Roman" w:cs="Times New Roman"/>
                <w:sz w:val="24"/>
                <w:szCs w:val="24"/>
              </w:rPr>
              <w:t xml:space="preserve">c activity is likely to be lower </w:t>
            </w:r>
            <w:r w:rsidRPr="009F3FFE">
              <w:rPr>
                <w:rFonts w:ascii="Times New Roman" w:hAnsi="Times New Roman" w:cs="Times New Roman"/>
                <w:sz w:val="24"/>
                <w:szCs w:val="24"/>
              </w:rPr>
              <w:t>than the peak monthly output measur</w:t>
            </w:r>
            <w:r w:rsidR="007F39BF">
              <w:rPr>
                <w:rFonts w:ascii="Times New Roman" w:hAnsi="Times New Roman" w:cs="Times New Roman"/>
                <w:sz w:val="24"/>
                <w:szCs w:val="24"/>
              </w:rPr>
              <w:t>ed at an annualized rate.  O</w:t>
            </w:r>
            <w:r w:rsidRPr="009F3FFE">
              <w:rPr>
                <w:rFonts w:ascii="Times New Roman" w:hAnsi="Times New Roman" w:cs="Times New Roman"/>
                <w:sz w:val="24"/>
                <w:szCs w:val="24"/>
              </w:rPr>
              <w:t>ne might object that the check as to whether one is above potential – whether the peak coincides with an acceleration in the inflation rate,</w:t>
            </w:r>
            <w:r w:rsidR="008D78ED">
              <w:rPr>
                <w:rFonts w:ascii="Times New Roman" w:hAnsi="Times New Roman" w:cs="Times New Roman"/>
                <w:sz w:val="24"/>
                <w:szCs w:val="24"/>
              </w:rPr>
              <w:t xml:space="preserve"> might work more poorly </w:t>
            </w:r>
            <w:r w:rsidRPr="009F3FFE">
              <w:rPr>
                <w:rFonts w:ascii="Times New Roman" w:hAnsi="Times New Roman" w:cs="Times New Roman"/>
                <w:sz w:val="24"/>
                <w:szCs w:val="24"/>
              </w:rPr>
              <w:t xml:space="preserve">for monthly data.  That is, in principle, a component of GNP </w:t>
            </w:r>
            <w:r w:rsidR="00BD6E45">
              <w:rPr>
                <w:rFonts w:ascii="Times New Roman" w:hAnsi="Times New Roman" w:cs="Times New Roman"/>
                <w:sz w:val="24"/>
                <w:szCs w:val="24"/>
              </w:rPr>
              <w:t xml:space="preserve">(industrial production) </w:t>
            </w:r>
            <w:r w:rsidRPr="009F3FFE">
              <w:rPr>
                <w:rFonts w:ascii="Times New Roman" w:hAnsi="Times New Roman" w:cs="Times New Roman"/>
                <w:sz w:val="24"/>
                <w:szCs w:val="24"/>
              </w:rPr>
              <w:t xml:space="preserve">could be a poor proxy for the potential of the entire economy </w:t>
            </w:r>
            <w:r w:rsidRPr="009F3FFE">
              <w:rPr>
                <w:rFonts w:ascii="Times New Roman" w:hAnsi="Times New Roman" w:cs="Times New Roman"/>
                <w:sz w:val="24"/>
                <w:szCs w:val="24"/>
              </w:rPr>
              <w:lastRenderedPageBreak/>
              <w:t xml:space="preserve">because at its peaks it could be drawing inputs away from other sectors of the economy without necessarily causing the entire economy to press against a </w:t>
            </w:r>
            <w:r w:rsidR="002822E4">
              <w:rPr>
                <w:rFonts w:ascii="Times New Roman" w:hAnsi="Times New Roman" w:cs="Times New Roman"/>
                <w:sz w:val="24"/>
                <w:szCs w:val="24"/>
              </w:rPr>
              <w:t xml:space="preserve">ceiling of potential output </w:t>
            </w:r>
            <w:r w:rsidR="00330168">
              <w:rPr>
                <w:rFonts w:ascii="Times New Roman" w:hAnsi="Times New Roman" w:cs="Times New Roman"/>
                <w:sz w:val="24"/>
                <w:szCs w:val="24"/>
              </w:rPr>
              <w:t xml:space="preserve">thereby </w:t>
            </w:r>
            <w:r w:rsidR="002822E4">
              <w:rPr>
                <w:rFonts w:ascii="Times New Roman" w:hAnsi="Times New Roman" w:cs="Times New Roman"/>
                <w:sz w:val="24"/>
                <w:szCs w:val="24"/>
              </w:rPr>
              <w:t>triggering</w:t>
            </w:r>
            <w:r w:rsidRPr="009F3FFE">
              <w:rPr>
                <w:rFonts w:ascii="Times New Roman" w:hAnsi="Times New Roman" w:cs="Times New Roman"/>
                <w:sz w:val="24"/>
                <w:szCs w:val="24"/>
              </w:rPr>
              <w:t xml:space="preserve"> an acceleration of inflation.  And at its troughs it</w:t>
            </w:r>
            <w:r w:rsidR="009C3DDD">
              <w:rPr>
                <w:rFonts w:ascii="Times New Roman" w:hAnsi="Times New Roman" w:cs="Times New Roman"/>
                <w:sz w:val="24"/>
                <w:szCs w:val="24"/>
              </w:rPr>
              <w:t xml:space="preserve"> might be releasing inputs that </w:t>
            </w:r>
            <w:r w:rsidRPr="009F3FFE">
              <w:rPr>
                <w:rFonts w:ascii="Times New Roman" w:hAnsi="Times New Roman" w:cs="Times New Roman"/>
                <w:sz w:val="24"/>
                <w:szCs w:val="24"/>
              </w:rPr>
              <w:t xml:space="preserve">were easily reemployed elsewhere.  </w:t>
            </w:r>
          </w:p>
          <w:p w14:paraId="6D4EC47E" w14:textId="214AC256" w:rsidR="009C3DDD" w:rsidRDefault="003D6B75">
            <w:pPr>
              <w:spacing w:line="480" w:lineRule="auto"/>
              <w:ind w:firstLine="576"/>
              <w:rPr>
                <w:rFonts w:ascii="Times New Roman" w:hAnsi="Times New Roman" w:cs="Times New Roman"/>
                <w:b/>
                <w:sz w:val="24"/>
                <w:szCs w:val="24"/>
              </w:rPr>
            </w:pPr>
            <w:r w:rsidRPr="009F3FFE">
              <w:rPr>
                <w:rFonts w:ascii="Times New Roman" w:hAnsi="Times New Roman" w:cs="Times New Roman"/>
                <w:sz w:val="24"/>
                <w:szCs w:val="24"/>
              </w:rPr>
              <w:t xml:space="preserve">But the possibilities for such reallocation may be more limited than one might first imagine.  Industrial products must </w:t>
            </w:r>
            <w:r w:rsidR="008D78ED">
              <w:rPr>
                <w:rFonts w:ascii="Times New Roman" w:hAnsi="Times New Roman" w:cs="Times New Roman"/>
                <w:sz w:val="24"/>
                <w:szCs w:val="24"/>
              </w:rPr>
              <w:t>be transported and distributed, s</w:t>
            </w:r>
            <w:r w:rsidRPr="009F3FFE">
              <w:rPr>
                <w:rFonts w:ascii="Times New Roman" w:hAnsi="Times New Roman" w:cs="Times New Roman"/>
                <w:sz w:val="24"/>
                <w:szCs w:val="24"/>
              </w:rPr>
              <w:t>o it is unlikely, during an industrial production boom, that too many inputs can be drawn from these or in fact other service sectors.  We make allowances for some of this in choosing an elasticity of GNP with respect to c</w:t>
            </w:r>
            <w:r w:rsidR="008D78ED">
              <w:rPr>
                <w:rFonts w:ascii="Times New Roman" w:hAnsi="Times New Roman" w:cs="Times New Roman"/>
                <w:sz w:val="24"/>
                <w:szCs w:val="24"/>
              </w:rPr>
              <w:t>ommodity output of</w:t>
            </w:r>
            <w:r w:rsidRPr="009F3FFE">
              <w:rPr>
                <w:rFonts w:ascii="Times New Roman" w:hAnsi="Times New Roman" w:cs="Times New Roman"/>
                <w:sz w:val="24"/>
                <w:szCs w:val="24"/>
              </w:rPr>
              <w:t xml:space="preserve"> less tha</w:t>
            </w:r>
            <w:r w:rsidR="00330168">
              <w:rPr>
                <w:rFonts w:ascii="Times New Roman" w:hAnsi="Times New Roman" w:cs="Times New Roman"/>
                <w:sz w:val="24"/>
                <w:szCs w:val="24"/>
              </w:rPr>
              <w:t>n 1.  But GNP still varies</w:t>
            </w:r>
            <w:r w:rsidRPr="009F3FFE">
              <w:rPr>
                <w:rFonts w:ascii="Times New Roman" w:hAnsi="Times New Roman" w:cs="Times New Roman"/>
                <w:sz w:val="24"/>
                <w:szCs w:val="24"/>
              </w:rPr>
              <w:t xml:space="preserve"> strongly with commodity output, and that elasticity, if it is n</w:t>
            </w:r>
            <w:r w:rsidR="008D78ED">
              <w:rPr>
                <w:rFonts w:ascii="Times New Roman" w:hAnsi="Times New Roman" w:cs="Times New Roman"/>
                <w:sz w:val="24"/>
                <w:szCs w:val="24"/>
              </w:rPr>
              <w:t>ot close to 1, is also</w:t>
            </w:r>
            <w:r w:rsidR="00330168">
              <w:rPr>
                <w:rFonts w:ascii="Times New Roman" w:hAnsi="Times New Roman" w:cs="Times New Roman"/>
                <w:sz w:val="24"/>
                <w:szCs w:val="24"/>
              </w:rPr>
              <w:t xml:space="preserve"> clearly</w:t>
            </w:r>
            <w:r w:rsidRPr="009F3FFE">
              <w:rPr>
                <w:rFonts w:ascii="Times New Roman" w:hAnsi="Times New Roman" w:cs="Times New Roman"/>
                <w:sz w:val="24"/>
                <w:szCs w:val="24"/>
              </w:rPr>
              <w:t xml:space="preserve"> not close to 0.  </w:t>
            </w:r>
            <w:r w:rsidR="00014B57">
              <w:rPr>
                <w:rFonts w:ascii="Times New Roman" w:hAnsi="Times New Roman" w:cs="Times New Roman"/>
                <w:sz w:val="24"/>
                <w:szCs w:val="24"/>
              </w:rPr>
              <w:t>Comovement</w:t>
            </w:r>
            <w:r w:rsidR="00E44B8D">
              <w:rPr>
                <w:rFonts w:ascii="Times New Roman" w:hAnsi="Times New Roman" w:cs="Times New Roman"/>
                <w:sz w:val="24"/>
                <w:szCs w:val="24"/>
              </w:rPr>
              <w:t xml:space="preserve"> of many sectors of the economy</w:t>
            </w:r>
            <w:r w:rsidR="00014B57">
              <w:rPr>
                <w:rFonts w:ascii="Times New Roman" w:hAnsi="Times New Roman" w:cs="Times New Roman"/>
                <w:sz w:val="24"/>
                <w:szCs w:val="24"/>
              </w:rPr>
              <w:t xml:space="preserve"> is widely recognized by macroeconomists as an essential feature of business fluctuations (Long and Plosser, 1987).</w:t>
            </w:r>
            <w:r w:rsidRPr="009F3FFE">
              <w:rPr>
                <w:rFonts w:ascii="Times New Roman" w:hAnsi="Times New Roman" w:cs="Times New Roman"/>
                <w:sz w:val="24"/>
                <w:szCs w:val="24"/>
              </w:rPr>
              <w:t xml:space="preserve"> </w:t>
            </w:r>
          </w:p>
          <w:p w14:paraId="3E6F5FE9" w14:textId="715DB89A" w:rsidR="00605B5A" w:rsidRPr="009F3FFE" w:rsidRDefault="003D6B75">
            <w:pPr>
              <w:spacing w:line="480" w:lineRule="auto"/>
              <w:rPr>
                <w:rFonts w:ascii="Times New Roman" w:hAnsi="Times New Roman" w:cs="Times New Roman"/>
                <w:b/>
                <w:sz w:val="24"/>
                <w:szCs w:val="24"/>
              </w:rPr>
            </w:pPr>
            <w:r w:rsidRPr="009F3FFE">
              <w:rPr>
                <w:rFonts w:ascii="Times New Roman" w:hAnsi="Times New Roman" w:cs="Times New Roman"/>
                <w:b/>
                <w:sz w:val="24"/>
                <w:szCs w:val="24"/>
              </w:rPr>
              <w:t>Inflation rates</w:t>
            </w:r>
          </w:p>
          <w:p w14:paraId="7EDE5663" w14:textId="3170DC7B" w:rsidR="005539D0" w:rsidRDefault="00B31BEC">
            <w:pPr>
              <w:spacing w:line="480" w:lineRule="auto"/>
              <w:ind w:firstLine="576"/>
              <w:rPr>
                <w:rFonts w:ascii="Times New Roman" w:hAnsi="Times New Roman" w:cs="Times New Roman"/>
                <w:noProof/>
                <w:sz w:val="24"/>
                <w:szCs w:val="24"/>
              </w:rPr>
            </w:pPr>
            <w:r w:rsidRPr="009F3FFE">
              <w:rPr>
                <w:rFonts w:ascii="Times New Roman" w:hAnsi="Times New Roman" w:cs="Times New Roman"/>
                <w:sz w:val="24"/>
                <w:szCs w:val="24"/>
              </w:rPr>
              <w:t xml:space="preserve">We turn </w:t>
            </w:r>
            <w:r w:rsidR="003D6B75" w:rsidRPr="009F3FFE">
              <w:rPr>
                <w:rFonts w:ascii="Times New Roman" w:hAnsi="Times New Roman" w:cs="Times New Roman"/>
                <w:sz w:val="24"/>
                <w:szCs w:val="24"/>
              </w:rPr>
              <w:t xml:space="preserve">now </w:t>
            </w:r>
            <w:r w:rsidRPr="009F3FFE">
              <w:rPr>
                <w:rFonts w:ascii="Times New Roman" w:hAnsi="Times New Roman" w:cs="Times New Roman"/>
                <w:sz w:val="24"/>
                <w:szCs w:val="24"/>
              </w:rPr>
              <w:t>to</w:t>
            </w:r>
            <w:r w:rsidR="003D6B75" w:rsidRPr="009F3FFE">
              <w:rPr>
                <w:rFonts w:ascii="Times New Roman" w:hAnsi="Times New Roman" w:cs="Times New Roman"/>
                <w:sz w:val="24"/>
                <w:szCs w:val="24"/>
              </w:rPr>
              <w:t xml:space="preserve"> </w:t>
            </w:r>
            <w:r w:rsidRPr="009F3FFE">
              <w:rPr>
                <w:rFonts w:ascii="Times New Roman" w:hAnsi="Times New Roman" w:cs="Times New Roman"/>
                <w:sz w:val="24"/>
                <w:szCs w:val="24"/>
              </w:rPr>
              <w:t xml:space="preserve">measures of </w:t>
            </w:r>
            <w:r w:rsidR="003D6B75" w:rsidRPr="009F3FFE">
              <w:rPr>
                <w:rFonts w:ascii="Times New Roman" w:hAnsi="Times New Roman" w:cs="Times New Roman"/>
                <w:sz w:val="24"/>
                <w:szCs w:val="24"/>
              </w:rPr>
              <w:t>inflation</w:t>
            </w:r>
            <w:r w:rsidRPr="009F3FFE">
              <w:rPr>
                <w:rFonts w:ascii="Times New Roman" w:hAnsi="Times New Roman" w:cs="Times New Roman"/>
                <w:sz w:val="24"/>
                <w:szCs w:val="24"/>
              </w:rPr>
              <w:t>.  The onl</w:t>
            </w:r>
            <w:r w:rsidR="003D6B75" w:rsidRPr="009F3FFE">
              <w:rPr>
                <w:rFonts w:ascii="Times New Roman" w:hAnsi="Times New Roman" w:cs="Times New Roman"/>
                <w:sz w:val="24"/>
                <w:szCs w:val="24"/>
              </w:rPr>
              <w:t>y price series available at a monthly</w:t>
            </w:r>
            <w:r w:rsidRPr="009F3FFE">
              <w:rPr>
                <w:rFonts w:ascii="Times New Roman" w:hAnsi="Times New Roman" w:cs="Times New Roman"/>
                <w:sz w:val="24"/>
                <w:szCs w:val="24"/>
              </w:rPr>
              <w:t xml:space="preserve"> frequency is the CPI for all urban consumers.  There are a variety of ways in which monthly inflation rates might be calculated.  One can simply log the price index, calculate the change in logs</w:t>
            </w:r>
            <w:r w:rsidR="003D6B75" w:rsidRPr="009F3FFE">
              <w:rPr>
                <w:rFonts w:ascii="Times New Roman" w:hAnsi="Times New Roman" w:cs="Times New Roman"/>
                <w:sz w:val="24"/>
                <w:szCs w:val="24"/>
              </w:rPr>
              <w:t xml:space="preserve"> from </w:t>
            </w:r>
            <w:r w:rsidR="00BD6E45">
              <w:rPr>
                <w:rFonts w:ascii="Times New Roman" w:hAnsi="Times New Roman" w:cs="Times New Roman"/>
                <w:sz w:val="24"/>
                <w:szCs w:val="24"/>
              </w:rPr>
              <w:t xml:space="preserve">one </w:t>
            </w:r>
            <w:r w:rsidR="003D6B75" w:rsidRPr="009F3FFE">
              <w:rPr>
                <w:rFonts w:ascii="Times New Roman" w:hAnsi="Times New Roman" w:cs="Times New Roman"/>
                <w:sz w:val="24"/>
                <w:szCs w:val="24"/>
              </w:rPr>
              <w:t>month</w:t>
            </w:r>
            <w:r w:rsidR="00BD6E45">
              <w:rPr>
                <w:rFonts w:ascii="Times New Roman" w:hAnsi="Times New Roman" w:cs="Times New Roman"/>
                <w:sz w:val="24"/>
                <w:szCs w:val="24"/>
              </w:rPr>
              <w:t xml:space="preserve"> to the next,</w:t>
            </w:r>
            <w:r w:rsidR="003D6B75" w:rsidRPr="009F3FFE">
              <w:rPr>
                <w:rFonts w:ascii="Times New Roman" w:hAnsi="Times New Roman" w:cs="Times New Roman"/>
                <w:sz w:val="24"/>
                <w:szCs w:val="24"/>
              </w:rPr>
              <w:t xml:space="preserve"> and annualize by multiplying by twelve. The resulting</w:t>
            </w:r>
            <w:r w:rsidR="008D78ED">
              <w:rPr>
                <w:rFonts w:ascii="Times New Roman" w:hAnsi="Times New Roman" w:cs="Times New Roman"/>
                <w:sz w:val="24"/>
                <w:szCs w:val="24"/>
              </w:rPr>
              <w:t xml:space="preserve"> series is</w:t>
            </w:r>
            <w:r w:rsidR="003D6B75" w:rsidRPr="009F3FFE">
              <w:rPr>
                <w:rFonts w:ascii="Times New Roman" w:hAnsi="Times New Roman" w:cs="Times New Roman"/>
                <w:sz w:val="24"/>
                <w:szCs w:val="24"/>
              </w:rPr>
              <w:t xml:space="preserve"> </w:t>
            </w:r>
            <w:r w:rsidR="002822E4">
              <w:rPr>
                <w:rFonts w:ascii="Times New Roman" w:hAnsi="Times New Roman" w:cs="Times New Roman"/>
                <w:sz w:val="24"/>
                <w:szCs w:val="24"/>
              </w:rPr>
              <w:t xml:space="preserve">quite </w:t>
            </w:r>
            <w:r w:rsidR="003D6B75" w:rsidRPr="009F3FFE">
              <w:rPr>
                <w:rFonts w:ascii="Times New Roman" w:hAnsi="Times New Roman" w:cs="Times New Roman"/>
                <w:sz w:val="24"/>
                <w:szCs w:val="24"/>
              </w:rPr>
              <w:t>volatile, so I also</w:t>
            </w:r>
            <w:r w:rsidR="008D78ED">
              <w:rPr>
                <w:rFonts w:ascii="Times New Roman" w:hAnsi="Times New Roman" w:cs="Times New Roman"/>
                <w:sz w:val="24"/>
                <w:szCs w:val="24"/>
              </w:rPr>
              <w:t xml:space="preserve"> consider</w:t>
            </w:r>
            <w:r w:rsidRPr="009F3FFE">
              <w:rPr>
                <w:rFonts w:ascii="Times New Roman" w:hAnsi="Times New Roman" w:cs="Times New Roman"/>
                <w:sz w:val="24"/>
                <w:szCs w:val="24"/>
              </w:rPr>
              <w:t xml:space="preserve"> a three month m</w:t>
            </w:r>
            <w:r w:rsidR="003D6B75" w:rsidRPr="009F3FFE">
              <w:rPr>
                <w:rFonts w:ascii="Times New Roman" w:hAnsi="Times New Roman" w:cs="Times New Roman"/>
                <w:sz w:val="24"/>
                <w:szCs w:val="24"/>
              </w:rPr>
              <w:t xml:space="preserve">oving average.  Finally, </w:t>
            </w:r>
            <w:r w:rsidRPr="009F3FFE">
              <w:rPr>
                <w:rFonts w:ascii="Times New Roman" w:hAnsi="Times New Roman" w:cs="Times New Roman"/>
                <w:sz w:val="24"/>
                <w:szCs w:val="24"/>
              </w:rPr>
              <w:t>for each m</w:t>
            </w:r>
            <w:r w:rsidR="003D6B75" w:rsidRPr="009F3FFE">
              <w:rPr>
                <w:rFonts w:ascii="Times New Roman" w:hAnsi="Times New Roman" w:cs="Times New Roman"/>
                <w:sz w:val="24"/>
                <w:szCs w:val="24"/>
              </w:rPr>
              <w:t xml:space="preserve">onth I measure </w:t>
            </w:r>
            <w:r w:rsidRPr="009F3FFE">
              <w:rPr>
                <w:rFonts w:ascii="Times New Roman" w:hAnsi="Times New Roman" w:cs="Times New Roman"/>
                <w:sz w:val="24"/>
                <w:szCs w:val="24"/>
              </w:rPr>
              <w:t xml:space="preserve">inflation </w:t>
            </w:r>
            <w:r w:rsidR="003D6B75" w:rsidRPr="009F3FFE">
              <w:rPr>
                <w:rFonts w:ascii="Times New Roman" w:hAnsi="Times New Roman" w:cs="Times New Roman"/>
                <w:sz w:val="24"/>
                <w:szCs w:val="24"/>
              </w:rPr>
              <w:t xml:space="preserve">on a year over year basis: </w:t>
            </w:r>
            <w:r w:rsidR="008D78ED">
              <w:rPr>
                <w:rFonts w:ascii="Times New Roman" w:hAnsi="Times New Roman" w:cs="Times New Roman"/>
                <w:sz w:val="24"/>
                <w:szCs w:val="24"/>
              </w:rPr>
              <w:t xml:space="preserve">this measures by what percent </w:t>
            </w:r>
            <w:r w:rsidR="003D6B75" w:rsidRPr="009F3FFE">
              <w:rPr>
                <w:rFonts w:ascii="Times New Roman" w:hAnsi="Times New Roman" w:cs="Times New Roman"/>
                <w:sz w:val="24"/>
                <w:szCs w:val="24"/>
              </w:rPr>
              <w:t xml:space="preserve">prices </w:t>
            </w:r>
            <w:r w:rsidR="008D78ED">
              <w:rPr>
                <w:rFonts w:ascii="Times New Roman" w:hAnsi="Times New Roman" w:cs="Times New Roman"/>
                <w:sz w:val="24"/>
                <w:szCs w:val="24"/>
              </w:rPr>
              <w:t xml:space="preserve">have </w:t>
            </w:r>
            <w:r w:rsidR="003D6B75" w:rsidRPr="009F3FFE">
              <w:rPr>
                <w:rFonts w:ascii="Times New Roman" w:hAnsi="Times New Roman" w:cs="Times New Roman"/>
                <w:sz w:val="24"/>
                <w:szCs w:val="24"/>
              </w:rPr>
              <w:t xml:space="preserve">risen relative to the same month a year ago. </w:t>
            </w:r>
            <w:r w:rsidR="00AB62C9">
              <w:rPr>
                <w:rFonts w:ascii="Times New Roman" w:hAnsi="Times New Roman" w:cs="Times New Roman"/>
                <w:sz w:val="24"/>
                <w:szCs w:val="24"/>
              </w:rPr>
              <w:t xml:space="preserve"> This last measure – the smoothest of the three series - approximates what Taylor references in his 1993 article (p. 202): the inflation rate over the </w:t>
            </w:r>
            <w:r w:rsidR="005539D0">
              <w:rPr>
                <w:rFonts w:ascii="Times New Roman" w:hAnsi="Times New Roman" w:cs="Times New Roman"/>
                <w:sz w:val="24"/>
                <w:szCs w:val="24"/>
              </w:rPr>
              <w:t>p</w:t>
            </w:r>
            <w:r w:rsidR="00AB62C9">
              <w:rPr>
                <w:rFonts w:ascii="Times New Roman" w:hAnsi="Times New Roman" w:cs="Times New Roman"/>
                <w:sz w:val="24"/>
                <w:szCs w:val="24"/>
              </w:rPr>
              <w:t>revious four quarters.</w:t>
            </w:r>
            <w:r w:rsidR="009C3DDD" w:rsidRPr="009F3FFE">
              <w:rPr>
                <w:rFonts w:ascii="Times New Roman" w:hAnsi="Times New Roman" w:cs="Times New Roman"/>
                <w:noProof/>
                <w:sz w:val="24"/>
                <w:szCs w:val="24"/>
              </w:rPr>
              <w:t xml:space="preserve"> </w:t>
            </w:r>
          </w:p>
          <w:p w14:paraId="418E1051" w14:textId="1737DFDB" w:rsidR="00112D84" w:rsidRPr="009F3FFE" w:rsidRDefault="00112D84">
            <w:pPr>
              <w:spacing w:line="480" w:lineRule="auto"/>
              <w:ind w:firstLine="576"/>
              <w:rPr>
                <w:rFonts w:ascii="Times New Roman" w:hAnsi="Times New Roman" w:cs="Times New Roman"/>
                <w:sz w:val="24"/>
                <w:szCs w:val="24"/>
              </w:rPr>
            </w:pPr>
            <w:r w:rsidRPr="009F3FFE">
              <w:rPr>
                <w:rFonts w:ascii="Times New Roman" w:hAnsi="Times New Roman" w:cs="Times New Roman"/>
                <w:noProof/>
                <w:sz w:val="24"/>
                <w:szCs w:val="24"/>
              </w:rPr>
              <w:lastRenderedPageBreak/>
              <w:drawing>
                <wp:inline distT="0" distB="0" distL="0" distR="0" wp14:anchorId="61A04423" wp14:editId="4519EF55">
                  <wp:extent cx="5423338" cy="4438650"/>
                  <wp:effectExtent l="0" t="0" r="635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B2BAF3" w14:textId="77777777" w:rsidR="008D78ED" w:rsidRDefault="00CA35EF">
            <w:pPr>
              <w:spacing w:line="480" w:lineRule="auto"/>
              <w:ind w:firstLine="576"/>
              <w:rPr>
                <w:rFonts w:ascii="Times New Roman" w:hAnsi="Times New Roman" w:cs="Times New Roman"/>
                <w:sz w:val="24"/>
                <w:szCs w:val="24"/>
              </w:rPr>
            </w:pPr>
            <w:r w:rsidRPr="009F3FFE">
              <w:rPr>
                <w:rFonts w:ascii="Times New Roman" w:hAnsi="Times New Roman" w:cs="Times New Roman"/>
                <w:noProof/>
                <w:sz w:val="24"/>
                <w:szCs w:val="24"/>
              </w:rPr>
              <w:lastRenderedPageBreak/>
              <w:drawing>
                <wp:inline distT="0" distB="0" distL="0" distR="0" wp14:anchorId="2FF0E945" wp14:editId="3C61B3BE">
                  <wp:extent cx="5350510" cy="3589718"/>
                  <wp:effectExtent l="0" t="0" r="2540" b="1079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C3A9A92" w14:textId="259563AC" w:rsidR="00984604" w:rsidRDefault="00984604" w:rsidP="00984604">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It is this last measure that I </w:t>
            </w:r>
            <w:r w:rsidRPr="009F3FFE">
              <w:rPr>
                <w:rFonts w:ascii="Times New Roman" w:hAnsi="Times New Roman" w:cs="Times New Roman"/>
                <w:sz w:val="24"/>
                <w:szCs w:val="24"/>
              </w:rPr>
              <w:t xml:space="preserve">use in the Taylor rule calculations that </w:t>
            </w:r>
            <w:r>
              <w:rPr>
                <w:rFonts w:ascii="Times New Roman" w:hAnsi="Times New Roman" w:cs="Times New Roman"/>
                <w:sz w:val="24"/>
                <w:szCs w:val="24"/>
              </w:rPr>
              <w:t>f</w:t>
            </w:r>
            <w:r w:rsidRPr="009F3FFE">
              <w:rPr>
                <w:rFonts w:ascii="Times New Roman" w:hAnsi="Times New Roman" w:cs="Times New Roman"/>
                <w:sz w:val="24"/>
                <w:szCs w:val="24"/>
              </w:rPr>
              <w:t>ollow.</w:t>
            </w:r>
            <w:r>
              <w:rPr>
                <w:rFonts w:ascii="Times New Roman" w:hAnsi="Times New Roman" w:cs="Times New Roman"/>
                <w:sz w:val="24"/>
                <w:szCs w:val="24"/>
              </w:rPr>
              <w:t xml:space="preserve"> </w:t>
            </w:r>
            <w:r w:rsidRPr="009F3FFE">
              <w:rPr>
                <w:rFonts w:ascii="Times New Roman" w:hAnsi="Times New Roman" w:cs="Times New Roman"/>
                <w:sz w:val="24"/>
                <w:szCs w:val="24"/>
              </w:rPr>
              <w:t xml:space="preserve">With monthly estimates of an output gap and a series on monthly inflation rates, we are now in a position to calculate what a Taylor rule would have prescribed in the 1920s and </w:t>
            </w:r>
            <w:r>
              <w:rPr>
                <w:rFonts w:ascii="Times New Roman" w:hAnsi="Times New Roman" w:cs="Times New Roman"/>
                <w:sz w:val="24"/>
                <w:szCs w:val="24"/>
              </w:rPr>
              <w:t>compare it with the actual course of the discount rate.</w:t>
            </w:r>
            <w:r w:rsidRPr="009F3FFE">
              <w:rPr>
                <w:rFonts w:ascii="Times New Roman" w:hAnsi="Times New Roman" w:cs="Times New Roman"/>
                <w:sz w:val="24"/>
                <w:szCs w:val="24"/>
              </w:rPr>
              <w:t xml:space="preserve"> </w:t>
            </w:r>
            <w:r>
              <w:rPr>
                <w:rFonts w:ascii="Times New Roman" w:hAnsi="Times New Roman" w:cs="Times New Roman"/>
                <w:sz w:val="24"/>
                <w:szCs w:val="24"/>
              </w:rPr>
              <w:t xml:space="preserve">  Figure 6 shows the results, based on the rule described at the start of the paper.</w:t>
            </w:r>
            <w:r w:rsidR="00521DFE">
              <w:rPr>
                <w:rStyle w:val="FootnoteReference"/>
                <w:rFonts w:ascii="Times New Roman" w:hAnsi="Times New Roman" w:cs="Times New Roman"/>
                <w:sz w:val="24"/>
                <w:szCs w:val="24"/>
              </w:rPr>
              <w:footnoteReference w:id="20"/>
            </w:r>
            <w:r w:rsidR="00390D27">
              <w:rPr>
                <w:rFonts w:ascii="Times New Roman" w:hAnsi="Times New Roman" w:cs="Times New Roman"/>
                <w:sz w:val="24"/>
                <w:szCs w:val="24"/>
              </w:rPr>
              <w:t xml:space="preserve"> </w:t>
            </w:r>
          </w:p>
          <w:p w14:paraId="7B080BF9" w14:textId="77777777" w:rsidR="00984604" w:rsidRDefault="00984604" w:rsidP="00984604">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We can separate our discussion of the</w:t>
            </w:r>
            <w:r>
              <w:rPr>
                <w:rFonts w:ascii="Times New Roman" w:hAnsi="Times New Roman" w:cs="Times New Roman"/>
                <w:sz w:val="24"/>
                <w:szCs w:val="24"/>
              </w:rPr>
              <w:t>se</w:t>
            </w:r>
            <w:r w:rsidRPr="009F3FFE">
              <w:rPr>
                <w:rFonts w:ascii="Times New Roman" w:hAnsi="Times New Roman" w:cs="Times New Roman"/>
                <w:sz w:val="24"/>
                <w:szCs w:val="24"/>
              </w:rPr>
              <w:t xml:space="preserve"> eleven years into two periods:  the first, stretching from 1919 through 1922, was characterized by high inflation, a severe</w:t>
            </w:r>
            <w:r>
              <w:rPr>
                <w:rFonts w:ascii="Times New Roman" w:hAnsi="Times New Roman" w:cs="Times New Roman"/>
                <w:sz w:val="24"/>
                <w:szCs w:val="24"/>
              </w:rPr>
              <w:t xml:space="preserve"> but short recession, followed by </w:t>
            </w:r>
            <w:r w:rsidRPr="009F3FFE">
              <w:rPr>
                <w:rFonts w:ascii="Times New Roman" w:hAnsi="Times New Roman" w:cs="Times New Roman"/>
                <w:sz w:val="24"/>
                <w:szCs w:val="24"/>
              </w:rPr>
              <w:t>rapid disinflation</w:t>
            </w:r>
            <w:r>
              <w:rPr>
                <w:rFonts w:ascii="Times New Roman" w:hAnsi="Times New Roman" w:cs="Times New Roman"/>
                <w:sz w:val="24"/>
                <w:szCs w:val="24"/>
              </w:rPr>
              <w:t xml:space="preserve"> and then price stabilization</w:t>
            </w:r>
            <w:r w:rsidRPr="009F3FFE">
              <w:rPr>
                <w:rFonts w:ascii="Times New Roman" w:hAnsi="Times New Roman" w:cs="Times New Roman"/>
                <w:sz w:val="24"/>
                <w:szCs w:val="24"/>
              </w:rPr>
              <w:t>.  Mechanical application of a Taylo</w:t>
            </w:r>
            <w:r>
              <w:rPr>
                <w:rFonts w:ascii="Times New Roman" w:hAnsi="Times New Roman" w:cs="Times New Roman"/>
                <w:sz w:val="24"/>
                <w:szCs w:val="24"/>
              </w:rPr>
              <w:t xml:space="preserve">r rule would have mandated </w:t>
            </w:r>
            <w:r w:rsidRPr="009F3FFE">
              <w:rPr>
                <w:rFonts w:ascii="Times New Roman" w:hAnsi="Times New Roman" w:cs="Times New Roman"/>
                <w:sz w:val="24"/>
                <w:szCs w:val="24"/>
              </w:rPr>
              <w:t xml:space="preserve">interest rates of close to or above 20 percent </w:t>
            </w:r>
            <w:r>
              <w:rPr>
                <w:rFonts w:ascii="Times New Roman" w:hAnsi="Times New Roman" w:cs="Times New Roman"/>
                <w:sz w:val="24"/>
                <w:szCs w:val="24"/>
              </w:rPr>
              <w:t xml:space="preserve">from </w:t>
            </w:r>
            <w:r>
              <w:rPr>
                <w:rFonts w:ascii="Times New Roman" w:hAnsi="Times New Roman" w:cs="Times New Roman"/>
                <w:sz w:val="24"/>
                <w:szCs w:val="24"/>
              </w:rPr>
              <w:lastRenderedPageBreak/>
              <w:t xml:space="preserve">January of 1919 </w:t>
            </w:r>
            <w:r w:rsidRPr="009F3FFE">
              <w:rPr>
                <w:rFonts w:ascii="Times New Roman" w:hAnsi="Times New Roman" w:cs="Times New Roman"/>
                <w:sz w:val="24"/>
                <w:szCs w:val="24"/>
              </w:rPr>
              <w:t>through August of 1920</w:t>
            </w:r>
            <w:r>
              <w:rPr>
                <w:rStyle w:val="FootnoteReference"/>
                <w:rFonts w:ascii="Times New Roman" w:hAnsi="Times New Roman" w:cs="Times New Roman"/>
                <w:sz w:val="24"/>
                <w:szCs w:val="24"/>
              </w:rPr>
              <w:footnoteReference w:id="21"/>
            </w:r>
            <w:r w:rsidRPr="009F3FFE">
              <w:rPr>
                <w:rFonts w:ascii="Times New Roman" w:hAnsi="Times New Roman" w:cs="Times New Roman"/>
                <w:sz w:val="24"/>
                <w:szCs w:val="24"/>
              </w:rPr>
              <w:t xml:space="preserve"> followed by falling and indeed negative interest rates from December of 1920 through February of 1923.  The second period, running from March of 1923 onward</w:t>
            </w:r>
            <w:r>
              <w:rPr>
                <w:rFonts w:ascii="Times New Roman" w:hAnsi="Times New Roman" w:cs="Times New Roman"/>
                <w:sz w:val="24"/>
                <w:szCs w:val="24"/>
              </w:rPr>
              <w:t>,</w:t>
            </w:r>
            <w:r w:rsidRPr="009F3FFE">
              <w:rPr>
                <w:rFonts w:ascii="Times New Roman" w:hAnsi="Times New Roman" w:cs="Times New Roman"/>
                <w:sz w:val="24"/>
                <w:szCs w:val="24"/>
              </w:rPr>
              <w:t xml:space="preserve"> was characterized by generally full employment and low and stable inflation.  The prescribed Taylor rule enters positive territory in March of 1923 and continues positive through March of 1924.  It then drops below zero again</w:t>
            </w:r>
            <w:r>
              <w:rPr>
                <w:rFonts w:ascii="Times New Roman" w:hAnsi="Times New Roman" w:cs="Times New Roman"/>
                <w:sz w:val="24"/>
                <w:szCs w:val="24"/>
              </w:rPr>
              <w:t xml:space="preserve"> through February of 1925, returning to below</w:t>
            </w:r>
            <w:r w:rsidRPr="009F3FFE">
              <w:rPr>
                <w:rFonts w:ascii="Times New Roman" w:hAnsi="Times New Roman" w:cs="Times New Roman"/>
                <w:sz w:val="24"/>
                <w:szCs w:val="24"/>
              </w:rPr>
              <w:t xml:space="preserve"> zero again in July of 1926 where it remains through May of 1929. Between 1923 and 1929, a total of 84 months,</w:t>
            </w:r>
            <w:r>
              <w:rPr>
                <w:rFonts w:ascii="Times New Roman" w:hAnsi="Times New Roman" w:cs="Times New Roman"/>
                <w:sz w:val="24"/>
                <w:szCs w:val="24"/>
              </w:rPr>
              <w:t xml:space="preserve"> a </w:t>
            </w:r>
            <w:r w:rsidRPr="009F3FFE">
              <w:rPr>
                <w:rFonts w:ascii="Times New Roman" w:hAnsi="Times New Roman" w:cs="Times New Roman"/>
                <w:sz w:val="24"/>
                <w:szCs w:val="24"/>
              </w:rPr>
              <w:t>positive rate is recommended during only 34 of the months</w:t>
            </w:r>
            <w:r>
              <w:rPr>
                <w:rFonts w:ascii="Times New Roman" w:hAnsi="Times New Roman" w:cs="Times New Roman"/>
                <w:sz w:val="24"/>
                <w:szCs w:val="24"/>
              </w:rPr>
              <w:t>.</w:t>
            </w:r>
          </w:p>
          <w:p w14:paraId="061618B6" w14:textId="7EC04AA3" w:rsidR="00AF70A0" w:rsidRDefault="002A11BC" w:rsidP="00984604">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Here’s what the Taylor rule recommendations look like superimposed on the actual course of the discount rate:</w:t>
            </w:r>
            <w:r w:rsidR="00AF3CEC">
              <w:rPr>
                <w:noProof/>
              </w:rPr>
              <w:drawing>
                <wp:inline distT="0" distB="0" distL="0" distR="0" wp14:anchorId="0D4FC223" wp14:editId="3D82CE06">
                  <wp:extent cx="5502275" cy="3701523"/>
                  <wp:effectExtent l="0" t="0" r="3175" b="1333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CA35EF" w:rsidRPr="009F3FFE">
              <w:rPr>
                <w:rFonts w:ascii="Times New Roman" w:hAnsi="Times New Roman" w:cs="Times New Roman"/>
                <w:sz w:val="24"/>
                <w:szCs w:val="24"/>
              </w:rPr>
              <w:t xml:space="preserve"> </w:t>
            </w:r>
          </w:p>
          <w:p w14:paraId="56F62BA3" w14:textId="036B7C62" w:rsidR="001E2AC3" w:rsidRPr="009F3FFE" w:rsidRDefault="00AF70A0">
            <w:pPr>
              <w:spacing w:line="480" w:lineRule="auto"/>
              <w:ind w:firstLine="576"/>
              <w:rPr>
                <w:rFonts w:ascii="Times New Roman" w:hAnsi="Times New Roman" w:cs="Times New Roman"/>
                <w:sz w:val="24"/>
                <w:szCs w:val="24"/>
              </w:rPr>
            </w:pPr>
            <w:r>
              <w:rPr>
                <w:rFonts w:ascii="Times New Roman" w:hAnsi="Times New Roman" w:cs="Times New Roman"/>
                <w:sz w:val="24"/>
                <w:szCs w:val="24"/>
              </w:rPr>
              <w:lastRenderedPageBreak/>
              <w:t xml:space="preserve">For most of 1919 and 1920, a Taylor rule would have </w:t>
            </w:r>
            <w:r w:rsidR="00E44B8D">
              <w:rPr>
                <w:rFonts w:ascii="Times New Roman" w:hAnsi="Times New Roman" w:cs="Times New Roman"/>
                <w:sz w:val="24"/>
                <w:szCs w:val="24"/>
              </w:rPr>
              <w:t>mandated rates above 20</w:t>
            </w:r>
            <w:r>
              <w:rPr>
                <w:rFonts w:ascii="Times New Roman" w:hAnsi="Times New Roman" w:cs="Times New Roman"/>
                <w:sz w:val="24"/>
                <w:szCs w:val="24"/>
              </w:rPr>
              <w:t xml:space="preserve"> percent and</w:t>
            </w:r>
            <w:r w:rsidR="001E2AC3" w:rsidRPr="009F3FFE">
              <w:rPr>
                <w:rFonts w:ascii="Times New Roman" w:hAnsi="Times New Roman" w:cs="Times New Roman"/>
                <w:sz w:val="24"/>
                <w:szCs w:val="24"/>
              </w:rPr>
              <w:t xml:space="preserve"> over 30 percent in June of 1920 to break the back of the</w:t>
            </w:r>
            <w:r>
              <w:rPr>
                <w:rFonts w:ascii="Times New Roman" w:hAnsi="Times New Roman" w:cs="Times New Roman"/>
                <w:sz w:val="24"/>
                <w:szCs w:val="24"/>
              </w:rPr>
              <w:t xml:space="preserve"> legacy of</w:t>
            </w:r>
            <w:r w:rsidR="001E2AC3" w:rsidRPr="009F3FFE">
              <w:rPr>
                <w:rFonts w:ascii="Times New Roman" w:hAnsi="Times New Roman" w:cs="Times New Roman"/>
                <w:sz w:val="24"/>
                <w:szCs w:val="24"/>
              </w:rPr>
              <w:t xml:space="preserve"> wartime inflation.  This is in contrast to the actual path of rates, which peaked at 7 percent between J</w:t>
            </w:r>
            <w:r>
              <w:rPr>
                <w:rFonts w:ascii="Times New Roman" w:hAnsi="Times New Roman" w:cs="Times New Roman"/>
                <w:sz w:val="24"/>
                <w:szCs w:val="24"/>
              </w:rPr>
              <w:t>une of 1920 and April of 1921. Would providing such shock therapy have been a good idea?</w:t>
            </w:r>
            <w:r w:rsidR="00724FC7">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As it turned out</w:t>
            </w:r>
            <w:r w:rsidR="001E2AC3" w:rsidRPr="009F3FFE">
              <w:rPr>
                <w:rFonts w:ascii="Times New Roman" w:hAnsi="Times New Roman" w:cs="Times New Roman"/>
                <w:sz w:val="24"/>
                <w:szCs w:val="24"/>
              </w:rPr>
              <w:t xml:space="preserve"> such extreme measures were not necessary to produce a substantial disinflation between June of 1920 and June of 1921. And if we argue that excessively “low” interest rates between January of 1919 and June of 1920 somehow laid the foundation for subsequent asset bubbles in real estate and stocks, we must reckon with the fact that for the much longer period between December of 1920 and March of 1923, a Taylor rule would have mandated </w:t>
            </w:r>
            <w:r w:rsidR="001E2AC3" w:rsidRPr="009F3FFE">
              <w:rPr>
                <w:rFonts w:ascii="Times New Roman" w:hAnsi="Times New Roman" w:cs="Times New Roman"/>
                <w:i/>
                <w:sz w:val="24"/>
                <w:szCs w:val="24"/>
              </w:rPr>
              <w:t>negative</w:t>
            </w:r>
            <w:r w:rsidR="001E2AC3" w:rsidRPr="009F3FFE">
              <w:rPr>
                <w:rFonts w:ascii="Times New Roman" w:hAnsi="Times New Roman" w:cs="Times New Roman"/>
                <w:sz w:val="24"/>
                <w:szCs w:val="24"/>
              </w:rPr>
              <w:t xml:space="preserve"> nominal rates.</w:t>
            </w:r>
            <w:r>
              <w:rPr>
                <w:rFonts w:ascii="Times New Roman" w:hAnsi="Times New Roman" w:cs="Times New Roman"/>
                <w:sz w:val="24"/>
                <w:szCs w:val="24"/>
              </w:rPr>
              <w:t xml:space="preserve"> Because of the zero lower bound, realized real interest rates in 1921 and 1922 were </w:t>
            </w:r>
            <w:r w:rsidR="00E44B8D">
              <w:rPr>
                <w:rFonts w:ascii="Times New Roman" w:hAnsi="Times New Roman" w:cs="Times New Roman"/>
                <w:sz w:val="24"/>
                <w:szCs w:val="24"/>
              </w:rPr>
              <w:t xml:space="preserve">in fact </w:t>
            </w:r>
            <w:r>
              <w:rPr>
                <w:rFonts w:ascii="Times New Roman" w:hAnsi="Times New Roman" w:cs="Times New Roman"/>
                <w:sz w:val="24"/>
                <w:szCs w:val="24"/>
              </w:rPr>
              <w:t>very high.</w:t>
            </w:r>
          </w:p>
          <w:p w14:paraId="02EA1614" w14:textId="0D277CC8" w:rsidR="00722267" w:rsidRPr="009F3FFE" w:rsidRDefault="008B182A">
            <w:pPr>
              <w:spacing w:line="480" w:lineRule="auto"/>
              <w:ind w:firstLine="576"/>
              <w:rPr>
                <w:rFonts w:ascii="Times New Roman" w:hAnsi="Times New Roman" w:cs="Times New Roman"/>
                <w:sz w:val="24"/>
                <w:szCs w:val="24"/>
              </w:rPr>
            </w:pPr>
            <w:r w:rsidRPr="009F3FFE">
              <w:rPr>
                <w:rFonts w:ascii="Times New Roman" w:hAnsi="Times New Roman" w:cs="Times New Roman"/>
                <w:noProof/>
                <w:sz w:val="24"/>
                <w:szCs w:val="24"/>
              </w:rPr>
              <w:drawing>
                <wp:inline distT="0" distB="0" distL="0" distR="0" wp14:anchorId="3EEAAB18" wp14:editId="01B274F4">
                  <wp:extent cx="5386575" cy="2743200"/>
                  <wp:effectExtent l="0" t="0" r="5080" b="0"/>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6BD6C72" w14:textId="3A683BC8" w:rsidR="00722267" w:rsidRDefault="00BC7B8A">
            <w:pPr>
              <w:spacing w:line="480" w:lineRule="auto"/>
              <w:ind w:firstLine="576"/>
              <w:rPr>
                <w:rFonts w:ascii="Times New Roman" w:hAnsi="Times New Roman" w:cs="Times New Roman"/>
                <w:sz w:val="24"/>
                <w:szCs w:val="24"/>
              </w:rPr>
            </w:pPr>
            <w:r>
              <w:rPr>
                <w:rFonts w:ascii="Times New Roman" w:hAnsi="Times New Roman" w:cs="Times New Roman"/>
                <w:sz w:val="24"/>
                <w:szCs w:val="24"/>
              </w:rPr>
              <w:lastRenderedPageBreak/>
              <w:t>The second subperiod to consider</w:t>
            </w:r>
            <w:r w:rsidR="00722267" w:rsidRPr="009F3FFE">
              <w:rPr>
                <w:rFonts w:ascii="Times New Roman" w:hAnsi="Times New Roman" w:cs="Times New Roman"/>
                <w:sz w:val="24"/>
                <w:szCs w:val="24"/>
              </w:rPr>
              <w:t xml:space="preserve"> is the seven year stretch</w:t>
            </w:r>
            <w:r w:rsidR="00AF70A0">
              <w:rPr>
                <w:rFonts w:ascii="Times New Roman" w:hAnsi="Times New Roman" w:cs="Times New Roman"/>
                <w:sz w:val="24"/>
                <w:szCs w:val="24"/>
              </w:rPr>
              <w:t xml:space="preserve"> running from 1923 through 1929 (figure 8).  These years</w:t>
            </w:r>
            <w:r w:rsidR="00722267" w:rsidRPr="009F3FFE">
              <w:rPr>
                <w:rFonts w:ascii="Times New Roman" w:hAnsi="Times New Roman" w:cs="Times New Roman"/>
                <w:sz w:val="24"/>
                <w:szCs w:val="24"/>
              </w:rPr>
              <w:t xml:space="preserve"> experienced remarkable price stability and generally high employme</w:t>
            </w:r>
            <w:r w:rsidR="00AF70A0">
              <w:rPr>
                <w:rFonts w:ascii="Times New Roman" w:hAnsi="Times New Roman" w:cs="Times New Roman"/>
                <w:sz w:val="24"/>
                <w:szCs w:val="24"/>
              </w:rPr>
              <w:t xml:space="preserve">nt. </w:t>
            </w:r>
            <w:r w:rsidR="00722267" w:rsidRPr="009F3FFE">
              <w:rPr>
                <w:rFonts w:ascii="Times New Roman" w:hAnsi="Times New Roman" w:cs="Times New Roman"/>
                <w:sz w:val="24"/>
                <w:szCs w:val="24"/>
              </w:rPr>
              <w:t xml:space="preserve">What we find is that with the exception of a period running from July of 1925 through May of 1926, a Taylor rule would have mandated interest rates lower, often much lower than prevailed.  This includes a remarkable number of months, again, when the Taylor rule prescribes negative nominal rates.  The period from July of 1925 through May of 1926, when rates were “too low” does correspond with the height of </w:t>
            </w:r>
            <w:r w:rsidR="005D4CBB" w:rsidRPr="009F3FFE">
              <w:rPr>
                <w:rFonts w:ascii="Times New Roman" w:hAnsi="Times New Roman" w:cs="Times New Roman"/>
                <w:sz w:val="24"/>
                <w:szCs w:val="24"/>
              </w:rPr>
              <w:t xml:space="preserve">the </w:t>
            </w:r>
            <w:r w:rsidR="00722267" w:rsidRPr="009F3FFE">
              <w:rPr>
                <w:rFonts w:ascii="Times New Roman" w:hAnsi="Times New Roman" w:cs="Times New Roman"/>
                <w:sz w:val="24"/>
                <w:szCs w:val="24"/>
              </w:rPr>
              <w:t>residential real estate boom.  But just as the inflation of 1919 and the first part of 1920 dissipated without draconian interest rate</w:t>
            </w:r>
            <w:r w:rsidR="005D4CBB" w:rsidRPr="009F3FFE">
              <w:rPr>
                <w:rFonts w:ascii="Times New Roman" w:hAnsi="Times New Roman" w:cs="Times New Roman"/>
                <w:sz w:val="24"/>
                <w:szCs w:val="24"/>
              </w:rPr>
              <w:t xml:space="preserve"> hikes</w:t>
            </w:r>
            <w:r w:rsidR="00722267" w:rsidRPr="009F3FFE">
              <w:rPr>
                <w:rFonts w:ascii="Times New Roman" w:hAnsi="Times New Roman" w:cs="Times New Roman"/>
                <w:sz w:val="24"/>
                <w:szCs w:val="24"/>
              </w:rPr>
              <w:t>, so too did the residential real estate bubble (see Galbraith, 1955; Field, 1992).</w:t>
            </w:r>
            <w:r w:rsidR="005D4CBB" w:rsidRPr="009F3FFE">
              <w:rPr>
                <w:rFonts w:ascii="Times New Roman" w:hAnsi="Times New Roman" w:cs="Times New Roman"/>
                <w:sz w:val="24"/>
                <w:szCs w:val="24"/>
              </w:rPr>
              <w:t xml:space="preserve"> Since the period of “too low” rates corresponded with the peak of the real estate bubble, not its genesis, and since </w:t>
            </w:r>
            <w:r w:rsidR="007F7E5C">
              <w:rPr>
                <w:rFonts w:ascii="Times New Roman" w:hAnsi="Times New Roman" w:cs="Times New Roman"/>
                <w:sz w:val="24"/>
                <w:szCs w:val="24"/>
              </w:rPr>
              <w:t>“too low” rates</w:t>
            </w:r>
            <w:r w:rsidR="005D4CBB" w:rsidRPr="009F3FFE">
              <w:rPr>
                <w:rFonts w:ascii="Times New Roman" w:hAnsi="Times New Roman" w:cs="Times New Roman"/>
                <w:sz w:val="24"/>
                <w:szCs w:val="24"/>
              </w:rPr>
              <w:t xml:space="preserve"> did not stand in the way of the collapse of the bubble on its own accord, it seems difficult to credit this period of “lax” policy with having fueled the housing boom.  Even more tenuous would be linking this to the equities bubble of the second half of the decade,</w:t>
            </w:r>
            <w:r w:rsidR="008B182A" w:rsidRPr="009F3FFE">
              <w:rPr>
                <w:rFonts w:ascii="Times New Roman" w:hAnsi="Times New Roman" w:cs="Times New Roman"/>
                <w:sz w:val="24"/>
                <w:szCs w:val="24"/>
              </w:rPr>
              <w:t xml:space="preserve"> since for every month from July</w:t>
            </w:r>
            <w:r w:rsidR="005D4CBB" w:rsidRPr="009F3FFE">
              <w:rPr>
                <w:rFonts w:ascii="Times New Roman" w:hAnsi="Times New Roman" w:cs="Times New Roman"/>
                <w:sz w:val="24"/>
                <w:szCs w:val="24"/>
              </w:rPr>
              <w:t xml:space="preserve"> of 1926</w:t>
            </w:r>
            <w:r w:rsidR="008B182A" w:rsidRPr="009F3FFE">
              <w:rPr>
                <w:rFonts w:ascii="Times New Roman" w:hAnsi="Times New Roman" w:cs="Times New Roman"/>
                <w:sz w:val="24"/>
                <w:szCs w:val="24"/>
              </w:rPr>
              <w:t xml:space="preserve"> through May of 1929, </w:t>
            </w:r>
            <w:r w:rsidR="005D4CBB" w:rsidRPr="009F3FFE">
              <w:rPr>
                <w:rFonts w:ascii="Times New Roman" w:hAnsi="Times New Roman" w:cs="Times New Roman"/>
                <w:sz w:val="24"/>
                <w:szCs w:val="24"/>
              </w:rPr>
              <w:t>the Taylor rule prescription lies below, often substantially below, the actual discount rate.</w:t>
            </w:r>
          </w:p>
          <w:p w14:paraId="28CA9169" w14:textId="0615146E" w:rsidR="00BC767B" w:rsidRDefault="00BC767B">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It may well be of course that the equilibrium real interest rate in the 1920s was higher than Taylor, writing in the early 1990s, assumed it had been in the 1980s.  The decade, after all </w:t>
            </w:r>
            <w:r w:rsidR="00AF70A0">
              <w:rPr>
                <w:rFonts w:ascii="Times New Roman" w:hAnsi="Times New Roman" w:cs="Times New Roman"/>
                <w:sz w:val="24"/>
                <w:szCs w:val="24"/>
              </w:rPr>
              <w:t xml:space="preserve">was technologically dynamic, although </w:t>
            </w:r>
            <w:r>
              <w:rPr>
                <w:rFonts w:ascii="Times New Roman" w:hAnsi="Times New Roman" w:cs="Times New Roman"/>
                <w:sz w:val="24"/>
                <w:szCs w:val="24"/>
              </w:rPr>
              <w:t xml:space="preserve">not as much so as the 1930s (see Field, </w:t>
            </w:r>
            <w:r w:rsidR="002A11BC">
              <w:rPr>
                <w:rFonts w:ascii="Times New Roman" w:hAnsi="Times New Roman" w:cs="Times New Roman"/>
                <w:sz w:val="24"/>
                <w:szCs w:val="24"/>
              </w:rPr>
              <w:t xml:space="preserve">2003, </w:t>
            </w:r>
            <w:r>
              <w:rPr>
                <w:rFonts w:ascii="Times New Roman" w:hAnsi="Times New Roman" w:cs="Times New Roman"/>
                <w:sz w:val="24"/>
                <w:szCs w:val="24"/>
              </w:rPr>
              <w:t xml:space="preserve">2011).  </w:t>
            </w:r>
            <w:r w:rsidR="00AF70A0">
              <w:rPr>
                <w:rFonts w:ascii="Times New Roman" w:hAnsi="Times New Roman" w:cs="Times New Roman"/>
                <w:sz w:val="24"/>
                <w:szCs w:val="24"/>
              </w:rPr>
              <w:t>Nevertheless, the</w:t>
            </w:r>
            <w:r>
              <w:rPr>
                <w:rFonts w:ascii="Times New Roman" w:hAnsi="Times New Roman" w:cs="Times New Roman"/>
                <w:sz w:val="24"/>
                <w:szCs w:val="24"/>
              </w:rPr>
              <w:t xml:space="preserve"> diffusion of the automobile, the electrification of the internal distrib</w:t>
            </w:r>
            <w:r w:rsidR="00AF70A0">
              <w:rPr>
                <w:rFonts w:ascii="Times New Roman" w:hAnsi="Times New Roman" w:cs="Times New Roman"/>
                <w:sz w:val="24"/>
                <w:szCs w:val="24"/>
              </w:rPr>
              <w:t>ution of power within much</w:t>
            </w:r>
            <w:r>
              <w:rPr>
                <w:rFonts w:ascii="Times New Roman" w:hAnsi="Times New Roman" w:cs="Times New Roman"/>
                <w:sz w:val="24"/>
                <w:szCs w:val="24"/>
              </w:rPr>
              <w:t xml:space="preserve"> of the manufacturing plant, and the introduction of a wide range of new electrical app</w:t>
            </w:r>
            <w:r w:rsidR="00BC7B8A">
              <w:rPr>
                <w:rFonts w:ascii="Times New Roman" w:hAnsi="Times New Roman" w:cs="Times New Roman"/>
                <w:sz w:val="24"/>
                <w:szCs w:val="24"/>
              </w:rPr>
              <w:t>liances did make</w:t>
            </w:r>
            <w:r w:rsidR="00AF70A0">
              <w:rPr>
                <w:rFonts w:ascii="Times New Roman" w:hAnsi="Times New Roman" w:cs="Times New Roman"/>
                <w:sz w:val="24"/>
                <w:szCs w:val="24"/>
              </w:rPr>
              <w:t xml:space="preserve"> this a progressive </w:t>
            </w:r>
            <w:r>
              <w:rPr>
                <w:rFonts w:ascii="Times New Roman" w:hAnsi="Times New Roman" w:cs="Times New Roman"/>
                <w:sz w:val="24"/>
                <w:szCs w:val="24"/>
              </w:rPr>
              <w:t>period, providing some justification for the initial upward movement in stock indexes.  Irving F</w:t>
            </w:r>
            <w:r w:rsidR="00BC7B8A">
              <w:rPr>
                <w:rFonts w:ascii="Times New Roman" w:hAnsi="Times New Roman" w:cs="Times New Roman"/>
                <w:sz w:val="24"/>
                <w:szCs w:val="24"/>
              </w:rPr>
              <w:t>isher went too far in validatin</w:t>
            </w:r>
            <w:r w:rsidR="00F35C44">
              <w:rPr>
                <w:rFonts w:ascii="Times New Roman" w:hAnsi="Times New Roman" w:cs="Times New Roman"/>
                <w:sz w:val="24"/>
                <w:szCs w:val="24"/>
              </w:rPr>
              <w:t>g</w:t>
            </w:r>
            <w:r w:rsidR="00BC7B8A">
              <w:rPr>
                <w:rFonts w:ascii="Times New Roman" w:hAnsi="Times New Roman" w:cs="Times New Roman"/>
                <w:sz w:val="24"/>
                <w:szCs w:val="24"/>
              </w:rPr>
              <w:t xml:space="preserve"> high</w:t>
            </w:r>
            <w:r>
              <w:rPr>
                <w:rFonts w:ascii="Times New Roman" w:hAnsi="Times New Roman" w:cs="Times New Roman"/>
                <w:sz w:val="24"/>
                <w:szCs w:val="24"/>
              </w:rPr>
              <w:t xml:space="preserve"> equity valuations, but s</w:t>
            </w:r>
            <w:r w:rsidR="00AF70A0">
              <w:rPr>
                <w:rFonts w:ascii="Times New Roman" w:hAnsi="Times New Roman" w:cs="Times New Roman"/>
                <w:sz w:val="24"/>
                <w:szCs w:val="24"/>
              </w:rPr>
              <w:t xml:space="preserve">ome of what he said was justified.  </w:t>
            </w:r>
            <w:r w:rsidR="00047C29">
              <w:rPr>
                <w:rFonts w:ascii="Times New Roman" w:hAnsi="Times New Roman" w:cs="Times New Roman"/>
                <w:sz w:val="24"/>
                <w:szCs w:val="24"/>
              </w:rPr>
              <w:t>H</w:t>
            </w:r>
            <w:r w:rsidR="00AF70A0">
              <w:rPr>
                <w:rFonts w:ascii="Times New Roman" w:hAnsi="Times New Roman" w:cs="Times New Roman"/>
                <w:sz w:val="24"/>
                <w:szCs w:val="24"/>
              </w:rPr>
              <w:t>owever, s</w:t>
            </w:r>
            <w:r>
              <w:rPr>
                <w:rFonts w:ascii="Times New Roman" w:hAnsi="Times New Roman" w:cs="Times New Roman"/>
                <w:sz w:val="24"/>
                <w:szCs w:val="24"/>
              </w:rPr>
              <w:t xml:space="preserve">etting the Wicksellian natural </w:t>
            </w:r>
            <w:r>
              <w:rPr>
                <w:rFonts w:ascii="Times New Roman" w:hAnsi="Times New Roman" w:cs="Times New Roman"/>
                <w:sz w:val="24"/>
                <w:szCs w:val="24"/>
              </w:rPr>
              <w:lastRenderedPageBreak/>
              <w:t>rate at 2.5 percent, closer to the 2.7 percent we have assumed for the trend growt</w:t>
            </w:r>
            <w:r w:rsidR="00BC7B8A">
              <w:rPr>
                <w:rFonts w:ascii="Times New Roman" w:hAnsi="Times New Roman" w:cs="Times New Roman"/>
                <w:sz w:val="24"/>
                <w:szCs w:val="24"/>
              </w:rPr>
              <w:t xml:space="preserve">h rate of </w:t>
            </w:r>
            <w:r w:rsidR="00CA613A">
              <w:rPr>
                <w:rFonts w:ascii="Times New Roman" w:hAnsi="Times New Roman" w:cs="Times New Roman"/>
                <w:sz w:val="24"/>
                <w:szCs w:val="24"/>
              </w:rPr>
              <w:t>p</w:t>
            </w:r>
            <w:r w:rsidR="00BC7B8A">
              <w:rPr>
                <w:rFonts w:ascii="Times New Roman" w:hAnsi="Times New Roman" w:cs="Times New Roman"/>
                <w:sz w:val="24"/>
                <w:szCs w:val="24"/>
              </w:rPr>
              <w:t xml:space="preserve">otential during this </w:t>
            </w:r>
            <w:r>
              <w:rPr>
                <w:rFonts w:ascii="Times New Roman" w:hAnsi="Times New Roman" w:cs="Times New Roman"/>
                <w:sz w:val="24"/>
                <w:szCs w:val="24"/>
              </w:rPr>
              <w:t>period, would raise the plot of the Taylor rule prescription by only .5 percentage point, and would have only a marginal effect on the above discussion.</w:t>
            </w:r>
            <w:r w:rsidR="00AA1307" w:rsidDel="00AA1307">
              <w:rPr>
                <w:rStyle w:val="FootnoteReference"/>
                <w:rFonts w:ascii="Times New Roman" w:hAnsi="Times New Roman" w:cs="Times New Roman"/>
                <w:sz w:val="24"/>
                <w:szCs w:val="24"/>
              </w:rPr>
              <w:t xml:space="preserve"> </w:t>
            </w:r>
          </w:p>
          <w:p w14:paraId="3DC7F87B" w14:textId="1CD3C62A" w:rsidR="00B25712" w:rsidRDefault="00047C29">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In </w:t>
            </w:r>
            <w:r w:rsidR="002822E4">
              <w:rPr>
                <w:rFonts w:ascii="Times New Roman" w:hAnsi="Times New Roman" w:cs="Times New Roman"/>
                <w:sz w:val="24"/>
                <w:szCs w:val="24"/>
              </w:rPr>
              <w:t>c</w:t>
            </w:r>
            <w:r w:rsidR="00450923">
              <w:rPr>
                <w:rFonts w:ascii="Times New Roman" w:hAnsi="Times New Roman" w:cs="Times New Roman"/>
                <w:sz w:val="24"/>
                <w:szCs w:val="24"/>
              </w:rPr>
              <w:t>onstructing</w:t>
            </w:r>
            <w:r>
              <w:rPr>
                <w:rFonts w:ascii="Times New Roman" w:hAnsi="Times New Roman" w:cs="Times New Roman"/>
                <w:sz w:val="24"/>
                <w:szCs w:val="24"/>
              </w:rPr>
              <w:t xml:space="preserve"> what a Taylor rule would have prescribed for the 1920s, is it fair to retain</w:t>
            </w:r>
            <w:r w:rsidR="00450923">
              <w:rPr>
                <w:rFonts w:ascii="Times New Roman" w:hAnsi="Times New Roman" w:cs="Times New Roman"/>
                <w:sz w:val="24"/>
                <w:szCs w:val="24"/>
              </w:rPr>
              <w:t xml:space="preserve"> the 2 percent inflation target</w:t>
            </w:r>
            <w:r w:rsidR="002822E4">
              <w:rPr>
                <w:rFonts w:ascii="Times New Roman" w:hAnsi="Times New Roman" w:cs="Times New Roman"/>
                <w:sz w:val="24"/>
                <w:szCs w:val="24"/>
              </w:rPr>
              <w:t xml:space="preserve"> that Taylor assumed in 1993 and has come to be the norm</w:t>
            </w:r>
            <w:r w:rsidR="00450923">
              <w:rPr>
                <w:rFonts w:ascii="Times New Roman" w:hAnsi="Times New Roman" w:cs="Times New Roman"/>
                <w:sz w:val="24"/>
                <w:szCs w:val="24"/>
              </w:rPr>
              <w:t>?</w:t>
            </w:r>
            <w:r>
              <w:rPr>
                <w:rFonts w:ascii="Times New Roman" w:hAnsi="Times New Roman" w:cs="Times New Roman"/>
                <w:sz w:val="24"/>
                <w:szCs w:val="24"/>
              </w:rPr>
              <w:t xml:space="preserve"> After all, looking at the entire nineteenth century, </w:t>
            </w:r>
            <w:r w:rsidR="00450923">
              <w:rPr>
                <w:rFonts w:ascii="Times New Roman" w:hAnsi="Times New Roman" w:cs="Times New Roman"/>
                <w:sz w:val="24"/>
                <w:szCs w:val="24"/>
              </w:rPr>
              <w:t xml:space="preserve">there is </w:t>
            </w:r>
            <w:r>
              <w:rPr>
                <w:rFonts w:ascii="Times New Roman" w:hAnsi="Times New Roman" w:cs="Times New Roman"/>
                <w:sz w:val="24"/>
                <w:szCs w:val="24"/>
              </w:rPr>
              <w:t xml:space="preserve">no long run trend in the price level, so perhaps setting the inflation target </w:t>
            </w:r>
            <w:r w:rsidR="00450923">
              <w:rPr>
                <w:rFonts w:ascii="Times New Roman" w:hAnsi="Times New Roman" w:cs="Times New Roman"/>
                <w:sz w:val="24"/>
                <w:szCs w:val="24"/>
              </w:rPr>
              <w:t xml:space="preserve">at 0 </w:t>
            </w:r>
            <w:r>
              <w:rPr>
                <w:rFonts w:ascii="Times New Roman" w:hAnsi="Times New Roman" w:cs="Times New Roman"/>
                <w:sz w:val="24"/>
                <w:szCs w:val="24"/>
              </w:rPr>
              <w:t xml:space="preserve">would be a fairer comparison. </w:t>
            </w:r>
            <w:r w:rsidR="00B25712">
              <w:rPr>
                <w:rFonts w:ascii="Times New Roman" w:hAnsi="Times New Roman" w:cs="Times New Roman"/>
                <w:sz w:val="24"/>
                <w:szCs w:val="24"/>
              </w:rPr>
              <w:t xml:space="preserve"> This would push up the Taylor rule recommendation by a full percentage point across the board.</w:t>
            </w:r>
            <w:r>
              <w:rPr>
                <w:rFonts w:ascii="Times New Roman" w:hAnsi="Times New Roman" w:cs="Times New Roman"/>
                <w:sz w:val="24"/>
                <w:szCs w:val="24"/>
              </w:rPr>
              <w:t xml:space="preserve"> </w:t>
            </w:r>
            <w:r w:rsidR="00B25712">
              <w:rPr>
                <w:rFonts w:ascii="Times New Roman" w:hAnsi="Times New Roman" w:cs="Times New Roman"/>
                <w:sz w:val="24"/>
                <w:szCs w:val="24"/>
              </w:rPr>
              <w:t>But again, the impact on the above discussion would be relatively</w:t>
            </w:r>
            <w:r w:rsidR="007F55BD">
              <w:rPr>
                <w:rFonts w:ascii="Times New Roman" w:hAnsi="Times New Roman" w:cs="Times New Roman"/>
                <w:sz w:val="24"/>
                <w:szCs w:val="24"/>
              </w:rPr>
              <w:t xml:space="preserve"> minor.  In only three of the 75 (out of 132) months in which a negative policy rate is recommended under the two percent inflation target does the </w:t>
            </w:r>
            <w:r w:rsidR="00BC7B8A">
              <w:rPr>
                <w:rFonts w:ascii="Times New Roman" w:hAnsi="Times New Roman" w:cs="Times New Roman"/>
                <w:sz w:val="24"/>
                <w:szCs w:val="24"/>
              </w:rPr>
              <w:t>shift to a zero percent inflation target move the recommendation</w:t>
            </w:r>
            <w:r w:rsidR="007F55BD">
              <w:rPr>
                <w:rFonts w:ascii="Times New Roman" w:hAnsi="Times New Roman" w:cs="Times New Roman"/>
                <w:sz w:val="24"/>
                <w:szCs w:val="24"/>
              </w:rPr>
              <w:t xml:space="preserve"> (barely) into positive territory (March, May, and November 1929)</w:t>
            </w:r>
            <w:r w:rsidR="00B25712">
              <w:rPr>
                <w:rFonts w:ascii="Times New Roman" w:hAnsi="Times New Roman" w:cs="Times New Roman"/>
                <w:sz w:val="24"/>
                <w:szCs w:val="24"/>
              </w:rPr>
              <w:t xml:space="preserve">.  There would be an additional three months in 1923 </w:t>
            </w:r>
            <w:r w:rsidR="002A11BC">
              <w:rPr>
                <w:rFonts w:ascii="Times New Roman" w:hAnsi="Times New Roman" w:cs="Times New Roman"/>
                <w:sz w:val="24"/>
                <w:szCs w:val="24"/>
              </w:rPr>
              <w:t>– August, September and October --</w:t>
            </w:r>
            <w:r w:rsidR="00B25712">
              <w:rPr>
                <w:rFonts w:ascii="Times New Roman" w:hAnsi="Times New Roman" w:cs="Times New Roman"/>
                <w:sz w:val="24"/>
                <w:szCs w:val="24"/>
              </w:rPr>
              <w:t xml:space="preserve"> when the recommended Taylor rule would have been half a percentage point above the actual discount rate.</w:t>
            </w:r>
          </w:p>
          <w:p w14:paraId="2118FBB6" w14:textId="4728BBA8" w:rsidR="00AA1307" w:rsidRPr="004A0F64" w:rsidRDefault="007B20AD" w:rsidP="00AA1307">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And there is a question whether, because of the zero lower bound, a Taylor rule with a zero percent inflation target is really practical. </w:t>
            </w:r>
            <w:r w:rsidR="008208D6">
              <w:rPr>
                <w:rFonts w:ascii="Times New Roman" w:hAnsi="Times New Roman" w:cs="Times New Roman"/>
                <w:sz w:val="24"/>
                <w:szCs w:val="24"/>
              </w:rPr>
              <w:t>The</w:t>
            </w:r>
            <w:r w:rsidR="00047C29">
              <w:rPr>
                <w:rFonts w:ascii="Times New Roman" w:hAnsi="Times New Roman" w:cs="Times New Roman"/>
                <w:sz w:val="24"/>
                <w:szCs w:val="24"/>
              </w:rPr>
              <w:t xml:space="preserve"> problem</w:t>
            </w:r>
            <w:r w:rsidR="00450923">
              <w:rPr>
                <w:rFonts w:ascii="Times New Roman" w:hAnsi="Times New Roman" w:cs="Times New Roman"/>
                <w:sz w:val="24"/>
                <w:szCs w:val="24"/>
              </w:rPr>
              <w:t xml:space="preserve"> </w:t>
            </w:r>
            <w:r w:rsidR="00047C29">
              <w:rPr>
                <w:rFonts w:ascii="Times New Roman" w:hAnsi="Times New Roman" w:cs="Times New Roman"/>
                <w:sz w:val="24"/>
                <w:szCs w:val="24"/>
              </w:rPr>
              <w:t xml:space="preserve">is that </w:t>
            </w:r>
            <w:r w:rsidR="002822E4">
              <w:rPr>
                <w:rFonts w:ascii="Times New Roman" w:hAnsi="Times New Roman" w:cs="Times New Roman"/>
                <w:sz w:val="24"/>
                <w:szCs w:val="24"/>
              </w:rPr>
              <w:t>the</w:t>
            </w:r>
            <w:r w:rsidR="00047C29">
              <w:rPr>
                <w:rFonts w:ascii="Times New Roman" w:hAnsi="Times New Roman" w:cs="Times New Roman"/>
                <w:sz w:val="24"/>
                <w:szCs w:val="24"/>
              </w:rPr>
              <w:t xml:space="preserve"> </w:t>
            </w:r>
            <w:r w:rsidR="00E44B8D">
              <w:rPr>
                <w:rFonts w:ascii="Times New Roman" w:hAnsi="Times New Roman" w:cs="Times New Roman"/>
                <w:sz w:val="24"/>
                <w:szCs w:val="24"/>
              </w:rPr>
              <w:t>zero lower bound</w:t>
            </w:r>
            <w:r w:rsidR="00047C29">
              <w:rPr>
                <w:rFonts w:ascii="Times New Roman" w:hAnsi="Times New Roman" w:cs="Times New Roman"/>
                <w:sz w:val="24"/>
                <w:szCs w:val="24"/>
              </w:rPr>
              <w:t xml:space="preserve"> means that a central bank limited to controlling its policy rate has no </w:t>
            </w:r>
            <w:r w:rsidR="007F39BF">
              <w:rPr>
                <w:rFonts w:ascii="Times New Roman" w:hAnsi="Times New Roman" w:cs="Times New Roman"/>
                <w:sz w:val="24"/>
                <w:szCs w:val="24"/>
              </w:rPr>
              <w:t>easy</w:t>
            </w:r>
            <w:r w:rsidR="00047C29">
              <w:rPr>
                <w:rFonts w:ascii="Times New Roman" w:hAnsi="Times New Roman" w:cs="Times New Roman"/>
                <w:sz w:val="24"/>
                <w:szCs w:val="24"/>
              </w:rPr>
              <w:t xml:space="preserve"> means of combatting deflation or its prospect. </w:t>
            </w:r>
            <w:r w:rsidR="00450923">
              <w:rPr>
                <w:rFonts w:ascii="Times New Roman" w:hAnsi="Times New Roman" w:cs="Times New Roman"/>
                <w:sz w:val="24"/>
                <w:szCs w:val="24"/>
              </w:rPr>
              <w:t xml:space="preserve"> If deflation gets established, it will mean high real interest rat</w:t>
            </w:r>
            <w:r>
              <w:rPr>
                <w:rFonts w:ascii="Times New Roman" w:hAnsi="Times New Roman" w:cs="Times New Roman"/>
                <w:sz w:val="24"/>
                <w:szCs w:val="24"/>
              </w:rPr>
              <w:t xml:space="preserve">es, and the central bank has no </w:t>
            </w:r>
            <w:r w:rsidR="00450923">
              <w:rPr>
                <w:rFonts w:ascii="Times New Roman" w:hAnsi="Times New Roman" w:cs="Times New Roman"/>
                <w:sz w:val="24"/>
                <w:szCs w:val="24"/>
              </w:rPr>
              <w:t xml:space="preserve">means of lowering them </w:t>
            </w:r>
            <w:r w:rsidR="002822E4">
              <w:rPr>
                <w:rFonts w:ascii="Times New Roman" w:hAnsi="Times New Roman" w:cs="Times New Roman"/>
                <w:sz w:val="24"/>
                <w:szCs w:val="24"/>
              </w:rPr>
              <w:t>unless it adopts unconventional policies outside of the purview of the rule</w:t>
            </w:r>
            <w:r w:rsidR="00450923">
              <w:rPr>
                <w:rFonts w:ascii="Times New Roman" w:hAnsi="Times New Roman" w:cs="Times New Roman"/>
                <w:sz w:val="24"/>
                <w:szCs w:val="24"/>
              </w:rPr>
              <w:t>.</w:t>
            </w:r>
            <w:r w:rsidR="00450923">
              <w:rPr>
                <w:rStyle w:val="FootnoteReference"/>
                <w:rFonts w:ascii="Times New Roman" w:hAnsi="Times New Roman" w:cs="Times New Roman"/>
                <w:sz w:val="24"/>
                <w:szCs w:val="24"/>
              </w:rPr>
              <w:footnoteReference w:id="23"/>
            </w:r>
            <w:r w:rsidR="00450923">
              <w:rPr>
                <w:rFonts w:ascii="Times New Roman" w:hAnsi="Times New Roman" w:cs="Times New Roman"/>
                <w:sz w:val="24"/>
                <w:szCs w:val="24"/>
              </w:rPr>
              <w:t xml:space="preserve"> If the deflation is due to a powerful sequence of positive </w:t>
            </w:r>
            <w:r w:rsidR="00450923">
              <w:rPr>
                <w:rFonts w:ascii="Times New Roman" w:hAnsi="Times New Roman" w:cs="Times New Roman"/>
                <w:sz w:val="24"/>
                <w:szCs w:val="24"/>
              </w:rPr>
              <w:lastRenderedPageBreak/>
              <w:t>supply shocks opening up new arenas for profitable investment</w:t>
            </w:r>
            <w:r w:rsidR="002822E4">
              <w:rPr>
                <w:rFonts w:ascii="Times New Roman" w:hAnsi="Times New Roman" w:cs="Times New Roman"/>
                <w:sz w:val="24"/>
                <w:szCs w:val="24"/>
              </w:rPr>
              <w:t xml:space="preserve">, </w:t>
            </w:r>
            <w:r w:rsidR="00450923">
              <w:rPr>
                <w:rFonts w:ascii="Times New Roman" w:hAnsi="Times New Roman" w:cs="Times New Roman"/>
                <w:sz w:val="24"/>
                <w:szCs w:val="24"/>
              </w:rPr>
              <w:t>thus raising the Wicksellian natural rate</w:t>
            </w:r>
            <w:r w:rsidR="002822E4">
              <w:rPr>
                <w:rFonts w:ascii="Times New Roman" w:hAnsi="Times New Roman" w:cs="Times New Roman"/>
                <w:sz w:val="24"/>
                <w:szCs w:val="24"/>
              </w:rPr>
              <w:t xml:space="preserve"> for a prolonged period,</w:t>
            </w:r>
            <w:r w:rsidR="000C4F53">
              <w:rPr>
                <w:rFonts w:ascii="Times New Roman" w:hAnsi="Times New Roman" w:cs="Times New Roman"/>
                <w:sz w:val="24"/>
                <w:szCs w:val="24"/>
              </w:rPr>
              <w:t xml:space="preserve"> this</w:t>
            </w:r>
            <w:r w:rsidR="00450923">
              <w:rPr>
                <w:rFonts w:ascii="Times New Roman" w:hAnsi="Times New Roman" w:cs="Times New Roman"/>
                <w:sz w:val="24"/>
                <w:szCs w:val="24"/>
              </w:rPr>
              <w:t xml:space="preserve"> might be tolerable.  Otherwise, serious depression is likely, and the central bank will need to resort to </w:t>
            </w:r>
            <w:r w:rsidR="00E44B8D">
              <w:rPr>
                <w:rFonts w:ascii="Times New Roman" w:hAnsi="Times New Roman" w:cs="Times New Roman"/>
                <w:sz w:val="24"/>
                <w:szCs w:val="24"/>
              </w:rPr>
              <w:t xml:space="preserve">unconventional measures </w:t>
            </w:r>
            <w:r w:rsidR="00450923">
              <w:rPr>
                <w:rFonts w:ascii="Times New Roman" w:hAnsi="Times New Roman" w:cs="Times New Roman"/>
                <w:sz w:val="24"/>
                <w:szCs w:val="24"/>
              </w:rPr>
              <w:t>– large scale purchases of longer t</w:t>
            </w:r>
            <w:r w:rsidR="002822E4">
              <w:rPr>
                <w:rFonts w:ascii="Times New Roman" w:hAnsi="Times New Roman" w:cs="Times New Roman"/>
                <w:sz w:val="24"/>
                <w:szCs w:val="24"/>
              </w:rPr>
              <w:t>erm assets</w:t>
            </w:r>
            <w:r w:rsidR="00E44B8D">
              <w:rPr>
                <w:rFonts w:ascii="Times New Roman" w:hAnsi="Times New Roman" w:cs="Times New Roman"/>
                <w:sz w:val="24"/>
                <w:szCs w:val="24"/>
              </w:rPr>
              <w:t xml:space="preserve"> (quantitative easing)</w:t>
            </w:r>
            <w:r w:rsidR="002822E4">
              <w:rPr>
                <w:rFonts w:ascii="Times New Roman" w:hAnsi="Times New Roman" w:cs="Times New Roman"/>
                <w:sz w:val="24"/>
                <w:szCs w:val="24"/>
              </w:rPr>
              <w:t xml:space="preserve">, or </w:t>
            </w:r>
            <w:r>
              <w:rPr>
                <w:rFonts w:ascii="Times New Roman" w:hAnsi="Times New Roman" w:cs="Times New Roman"/>
                <w:sz w:val="24"/>
                <w:szCs w:val="24"/>
              </w:rPr>
              <w:t>forward guidance, or other methods</w:t>
            </w:r>
            <w:r w:rsidR="002822E4">
              <w:rPr>
                <w:rFonts w:ascii="Times New Roman" w:hAnsi="Times New Roman" w:cs="Times New Roman"/>
                <w:sz w:val="24"/>
                <w:szCs w:val="24"/>
              </w:rPr>
              <w:t xml:space="preserve"> of trying to raise inflationary expectations. </w:t>
            </w:r>
            <w:r w:rsidR="00047C29">
              <w:rPr>
                <w:rFonts w:ascii="Times New Roman" w:hAnsi="Times New Roman" w:cs="Times New Roman"/>
                <w:sz w:val="24"/>
                <w:szCs w:val="24"/>
              </w:rPr>
              <w:t>Without the buffer of at least a 2 percent inflation target, the potent</w:t>
            </w:r>
            <w:r w:rsidR="00450923">
              <w:rPr>
                <w:rFonts w:ascii="Times New Roman" w:hAnsi="Times New Roman" w:cs="Times New Roman"/>
                <w:sz w:val="24"/>
                <w:szCs w:val="24"/>
              </w:rPr>
              <w:t>ially contractionary bias of the</w:t>
            </w:r>
            <w:r w:rsidR="00047C29">
              <w:rPr>
                <w:rFonts w:ascii="Times New Roman" w:hAnsi="Times New Roman" w:cs="Times New Roman"/>
                <w:sz w:val="24"/>
                <w:szCs w:val="24"/>
              </w:rPr>
              <w:t xml:space="preserve"> rule</w:t>
            </w:r>
            <w:r w:rsidR="00E131A1">
              <w:rPr>
                <w:rFonts w:ascii="Times New Roman" w:hAnsi="Times New Roman" w:cs="Times New Roman"/>
                <w:sz w:val="24"/>
                <w:szCs w:val="24"/>
              </w:rPr>
              <w:t xml:space="preserve">, aggravated by the </w:t>
            </w:r>
            <w:r w:rsidR="002822E4">
              <w:rPr>
                <w:rFonts w:ascii="Times New Roman" w:hAnsi="Times New Roman" w:cs="Times New Roman"/>
                <w:sz w:val="24"/>
                <w:szCs w:val="24"/>
              </w:rPr>
              <w:t xml:space="preserve">new </w:t>
            </w:r>
            <w:r w:rsidR="00E131A1">
              <w:rPr>
                <w:rFonts w:ascii="Times New Roman" w:hAnsi="Times New Roman" w:cs="Times New Roman"/>
                <w:sz w:val="24"/>
                <w:szCs w:val="24"/>
              </w:rPr>
              <w:t>concern with asset prices,</w:t>
            </w:r>
            <w:r w:rsidR="00047C29">
              <w:rPr>
                <w:rFonts w:ascii="Times New Roman" w:hAnsi="Times New Roman" w:cs="Times New Roman"/>
                <w:sz w:val="24"/>
                <w:szCs w:val="24"/>
              </w:rPr>
              <w:t xml:space="preserve"> becomes even more p</w:t>
            </w:r>
            <w:r w:rsidR="0007565D">
              <w:rPr>
                <w:rFonts w:ascii="Times New Roman" w:hAnsi="Times New Roman" w:cs="Times New Roman"/>
                <w:sz w:val="24"/>
                <w:szCs w:val="24"/>
              </w:rPr>
              <w:t>ronounced, and the rule, to use Taylor’s language, less “practical.”</w:t>
            </w:r>
            <w:r w:rsidR="008208D6">
              <w:rPr>
                <w:rFonts w:ascii="Times New Roman" w:hAnsi="Times New Roman" w:cs="Times New Roman"/>
                <w:sz w:val="24"/>
                <w:szCs w:val="24"/>
              </w:rPr>
              <w:t xml:space="preserve">  Thus I think it is reasonable to con</w:t>
            </w:r>
            <w:r w:rsidR="00916CD1">
              <w:rPr>
                <w:rFonts w:ascii="Times New Roman" w:hAnsi="Times New Roman" w:cs="Times New Roman"/>
                <w:sz w:val="24"/>
                <w:szCs w:val="24"/>
              </w:rPr>
              <w:t>struct a hypothetical Taylor rul</w:t>
            </w:r>
            <w:r w:rsidR="008208D6">
              <w:rPr>
                <w:rFonts w:ascii="Times New Roman" w:hAnsi="Times New Roman" w:cs="Times New Roman"/>
                <w:sz w:val="24"/>
                <w:szCs w:val="24"/>
              </w:rPr>
              <w:t xml:space="preserve">e mandate for the 1920s </w:t>
            </w:r>
            <w:r w:rsidR="008208D6" w:rsidRPr="00F56339">
              <w:rPr>
                <w:rFonts w:ascii="Times New Roman" w:hAnsi="Times New Roman" w:cs="Times New Roman"/>
                <w:sz w:val="24"/>
                <w:szCs w:val="24"/>
              </w:rPr>
              <w:t>using the two percent inf</w:t>
            </w:r>
            <w:r w:rsidR="00F13286">
              <w:rPr>
                <w:rFonts w:ascii="Times New Roman" w:hAnsi="Times New Roman" w:cs="Times New Roman"/>
                <w:sz w:val="24"/>
                <w:szCs w:val="24"/>
              </w:rPr>
              <w:t>la</w:t>
            </w:r>
            <w:r w:rsidR="00AA1307" w:rsidRPr="004A0F64">
              <w:rPr>
                <w:rFonts w:ascii="Times New Roman" w:hAnsi="Times New Roman" w:cs="Times New Roman"/>
                <w:sz w:val="24"/>
                <w:szCs w:val="24"/>
              </w:rPr>
              <w:t>tion target.</w:t>
            </w:r>
          </w:p>
          <w:p w14:paraId="719DE259" w14:textId="205AECC5" w:rsidR="00AA1307" w:rsidRDefault="00F13286" w:rsidP="00F56339">
            <w:pPr>
              <w:spacing w:line="480" w:lineRule="auto"/>
              <w:ind w:firstLine="576"/>
              <w:rPr>
                <w:rFonts w:ascii="Times New Roman" w:hAnsi="Times New Roman" w:cs="Times New Roman"/>
                <w:sz w:val="24"/>
                <w:szCs w:val="24"/>
              </w:rPr>
            </w:pPr>
            <w:r>
              <w:rPr>
                <w:rFonts w:ascii="Times New Roman" w:hAnsi="Times New Roman" w:cs="Times New Roman"/>
                <w:sz w:val="24"/>
                <w:szCs w:val="24"/>
              </w:rPr>
              <w:t>Because of</w:t>
            </w:r>
            <w:r w:rsidR="00DB36F6">
              <w:rPr>
                <w:rFonts w:ascii="Times New Roman" w:hAnsi="Times New Roman" w:cs="Times New Roman"/>
                <w:sz w:val="24"/>
                <w:szCs w:val="24"/>
              </w:rPr>
              <w:t xml:space="preserve"> different choices about </w:t>
            </w:r>
            <w:r w:rsidR="00FD1AC3">
              <w:rPr>
                <w:rFonts w:ascii="Times New Roman" w:hAnsi="Times New Roman" w:cs="Times New Roman"/>
                <w:sz w:val="24"/>
                <w:szCs w:val="24"/>
              </w:rPr>
              <w:t xml:space="preserve">methods and </w:t>
            </w:r>
            <w:r w:rsidR="00DB36F6">
              <w:rPr>
                <w:rFonts w:ascii="Times New Roman" w:hAnsi="Times New Roman" w:cs="Times New Roman"/>
                <w:sz w:val="24"/>
                <w:szCs w:val="24"/>
              </w:rPr>
              <w:t xml:space="preserve">data, </w:t>
            </w:r>
            <w:r w:rsidR="00FD1AC3">
              <w:rPr>
                <w:rFonts w:ascii="Times New Roman" w:hAnsi="Times New Roman" w:cs="Times New Roman"/>
                <w:sz w:val="24"/>
                <w:szCs w:val="24"/>
              </w:rPr>
              <w:t xml:space="preserve">and </w:t>
            </w:r>
            <w:r w:rsidR="00DB36F6">
              <w:rPr>
                <w:rFonts w:ascii="Times New Roman" w:hAnsi="Times New Roman" w:cs="Times New Roman"/>
                <w:sz w:val="24"/>
                <w:szCs w:val="24"/>
              </w:rPr>
              <w:t xml:space="preserve">assumptions about parameters, Eugene </w:t>
            </w:r>
            <w:r w:rsidR="00AA1307" w:rsidRPr="004A0F64">
              <w:rPr>
                <w:rFonts w:ascii="Times New Roman" w:hAnsi="Times New Roman" w:cs="Times New Roman"/>
                <w:sz w:val="24"/>
                <w:szCs w:val="24"/>
              </w:rPr>
              <w:t>White (2014, p. 131) reached</w:t>
            </w:r>
            <w:r w:rsidR="00AA1307">
              <w:rPr>
                <w:rFonts w:ascii="Times New Roman" w:hAnsi="Times New Roman" w:cs="Times New Roman"/>
                <w:sz w:val="24"/>
                <w:szCs w:val="24"/>
              </w:rPr>
              <w:t xml:space="preserve"> </w:t>
            </w:r>
            <w:r w:rsidR="00DB36F6">
              <w:rPr>
                <w:rFonts w:ascii="Times New Roman" w:hAnsi="Times New Roman" w:cs="Times New Roman"/>
                <w:sz w:val="24"/>
                <w:szCs w:val="24"/>
              </w:rPr>
              <w:t xml:space="preserve">somewhat </w:t>
            </w:r>
            <w:r w:rsidR="00E6051C" w:rsidRPr="00F56339">
              <w:rPr>
                <w:rFonts w:ascii="Times New Roman" w:hAnsi="Times New Roman" w:cs="Times New Roman"/>
                <w:sz w:val="24"/>
                <w:szCs w:val="24"/>
              </w:rPr>
              <w:t xml:space="preserve">different conclusions about the relationship between a Taylor rule recommendation and the actual course of </w:t>
            </w:r>
            <w:r w:rsidR="00DB36F6">
              <w:rPr>
                <w:rFonts w:ascii="Times New Roman" w:hAnsi="Times New Roman" w:cs="Times New Roman"/>
                <w:sz w:val="24"/>
                <w:szCs w:val="24"/>
              </w:rPr>
              <w:t xml:space="preserve">short term interest rates.  One </w:t>
            </w:r>
            <w:r w:rsidR="00FD1AC3">
              <w:rPr>
                <w:rFonts w:ascii="Times New Roman" w:hAnsi="Times New Roman" w:cs="Times New Roman"/>
                <w:sz w:val="24"/>
                <w:szCs w:val="24"/>
              </w:rPr>
              <w:t xml:space="preserve">reason </w:t>
            </w:r>
            <w:r>
              <w:rPr>
                <w:rFonts w:ascii="Times New Roman" w:hAnsi="Times New Roman" w:cs="Times New Roman"/>
                <w:sz w:val="24"/>
                <w:szCs w:val="24"/>
              </w:rPr>
              <w:t>is his</w:t>
            </w:r>
            <w:r w:rsidRPr="00F56339">
              <w:rPr>
                <w:rFonts w:ascii="Times New Roman" w:hAnsi="Times New Roman" w:cs="Times New Roman"/>
                <w:sz w:val="24"/>
                <w:szCs w:val="24"/>
              </w:rPr>
              <w:t xml:space="preserve"> calculat</w:t>
            </w:r>
            <w:r>
              <w:rPr>
                <w:rFonts w:ascii="Times New Roman" w:hAnsi="Times New Roman" w:cs="Times New Roman"/>
                <w:sz w:val="24"/>
                <w:szCs w:val="24"/>
              </w:rPr>
              <w:t xml:space="preserve">ion of an </w:t>
            </w:r>
            <w:r w:rsidR="00E6051C" w:rsidRPr="00F56339">
              <w:rPr>
                <w:rFonts w:ascii="Times New Roman" w:hAnsi="Times New Roman" w:cs="Times New Roman"/>
                <w:sz w:val="24"/>
                <w:szCs w:val="24"/>
              </w:rPr>
              <w:t>output gap as the difference between actual output and an HP filter estimate of trend interpreted as potential</w:t>
            </w:r>
            <w:r w:rsidR="00DB36F6">
              <w:rPr>
                <w:rFonts w:ascii="Times New Roman" w:hAnsi="Times New Roman" w:cs="Times New Roman"/>
                <w:sz w:val="24"/>
                <w:szCs w:val="24"/>
              </w:rPr>
              <w:t>, which lowers the average output gap compared to the methods used in this paper.</w:t>
            </w:r>
            <w:r w:rsidR="00AA1307">
              <w:rPr>
                <w:rStyle w:val="FootnoteReference"/>
                <w:rFonts w:ascii="Times New Roman" w:hAnsi="Times New Roman" w:cs="Times New Roman"/>
                <w:sz w:val="24"/>
                <w:szCs w:val="24"/>
              </w:rPr>
              <w:footnoteReference w:id="24"/>
            </w:r>
            <w:r w:rsidR="00E6051C" w:rsidRPr="00F56339">
              <w:rPr>
                <w:rFonts w:ascii="Times New Roman" w:hAnsi="Times New Roman" w:cs="Times New Roman"/>
                <w:sz w:val="24"/>
                <w:szCs w:val="24"/>
              </w:rPr>
              <w:t xml:space="preserve"> </w:t>
            </w:r>
            <w:r w:rsidR="00AA1307">
              <w:rPr>
                <w:rFonts w:ascii="Times New Roman" w:hAnsi="Times New Roman" w:cs="Times New Roman"/>
                <w:sz w:val="24"/>
                <w:szCs w:val="24"/>
              </w:rPr>
              <w:t>H</w:t>
            </w:r>
            <w:r w:rsidR="00E6051C" w:rsidRPr="00F56339">
              <w:rPr>
                <w:rFonts w:ascii="Times New Roman" w:hAnsi="Times New Roman" w:cs="Times New Roman"/>
                <w:sz w:val="24"/>
                <w:szCs w:val="24"/>
              </w:rPr>
              <w:t xml:space="preserve">e </w:t>
            </w:r>
            <w:r w:rsidR="00AA1307">
              <w:rPr>
                <w:rFonts w:ascii="Times New Roman" w:hAnsi="Times New Roman" w:cs="Times New Roman"/>
                <w:sz w:val="24"/>
                <w:szCs w:val="24"/>
              </w:rPr>
              <w:t xml:space="preserve">also </w:t>
            </w:r>
            <w:r w:rsidRPr="00F56339">
              <w:rPr>
                <w:rFonts w:ascii="Times New Roman" w:hAnsi="Times New Roman" w:cs="Times New Roman"/>
                <w:sz w:val="24"/>
                <w:szCs w:val="24"/>
              </w:rPr>
              <w:t xml:space="preserve">used a </w:t>
            </w:r>
            <w:r>
              <w:rPr>
                <w:rFonts w:ascii="Times New Roman" w:hAnsi="Times New Roman" w:cs="Times New Roman"/>
                <w:sz w:val="24"/>
                <w:szCs w:val="24"/>
              </w:rPr>
              <w:t>four</w:t>
            </w:r>
            <w:r w:rsidR="001B618B" w:rsidRPr="00F56339">
              <w:rPr>
                <w:rFonts w:ascii="Times New Roman" w:hAnsi="Times New Roman" w:cs="Times New Roman"/>
                <w:sz w:val="24"/>
                <w:szCs w:val="24"/>
              </w:rPr>
              <w:t xml:space="preserve"> percent natural rate assumption in his Taylor rule calculations, which shift</w:t>
            </w:r>
            <w:r w:rsidR="00E6051C" w:rsidRPr="00F56339">
              <w:rPr>
                <w:rFonts w:ascii="Times New Roman" w:hAnsi="Times New Roman" w:cs="Times New Roman"/>
                <w:sz w:val="24"/>
                <w:szCs w:val="24"/>
              </w:rPr>
              <w:t>ed up his</w:t>
            </w:r>
            <w:r w:rsidR="001B618B" w:rsidRPr="00F56339">
              <w:rPr>
                <w:rFonts w:ascii="Times New Roman" w:hAnsi="Times New Roman" w:cs="Times New Roman"/>
                <w:sz w:val="24"/>
                <w:szCs w:val="24"/>
              </w:rPr>
              <w:t xml:space="preserve"> Taylor ru</w:t>
            </w:r>
            <w:r w:rsidR="00AA1307" w:rsidRPr="00F56339">
              <w:rPr>
                <w:rFonts w:ascii="Times New Roman" w:hAnsi="Times New Roman" w:cs="Times New Roman"/>
                <w:sz w:val="24"/>
                <w:szCs w:val="24"/>
              </w:rPr>
              <w:t xml:space="preserve">le recommendations </w:t>
            </w:r>
            <w:r w:rsidR="001B618B" w:rsidRPr="00F56339">
              <w:rPr>
                <w:rFonts w:ascii="Times New Roman" w:hAnsi="Times New Roman" w:cs="Times New Roman"/>
                <w:sz w:val="24"/>
                <w:szCs w:val="24"/>
              </w:rPr>
              <w:t>by two percentage poin</w:t>
            </w:r>
            <w:r w:rsidR="00DB36F6" w:rsidRPr="00F56339">
              <w:rPr>
                <w:rFonts w:ascii="Times New Roman" w:hAnsi="Times New Roman" w:cs="Times New Roman"/>
                <w:sz w:val="24"/>
                <w:szCs w:val="24"/>
              </w:rPr>
              <w:t xml:space="preserve">ts across the board, </w:t>
            </w:r>
            <w:r w:rsidR="00DB36F6">
              <w:rPr>
                <w:rFonts w:ascii="Times New Roman" w:hAnsi="Times New Roman" w:cs="Times New Roman"/>
                <w:sz w:val="24"/>
                <w:szCs w:val="24"/>
              </w:rPr>
              <w:t>as well as</w:t>
            </w:r>
            <w:r w:rsidR="001B618B" w:rsidRPr="00F56339">
              <w:rPr>
                <w:rFonts w:ascii="Times New Roman" w:hAnsi="Times New Roman" w:cs="Times New Roman"/>
                <w:sz w:val="24"/>
                <w:szCs w:val="24"/>
              </w:rPr>
              <w:t xml:space="preserve"> an infl</w:t>
            </w:r>
            <w:r w:rsidR="00E6051C" w:rsidRPr="00F56339">
              <w:rPr>
                <w:rFonts w:ascii="Times New Roman" w:hAnsi="Times New Roman" w:cs="Times New Roman"/>
                <w:sz w:val="24"/>
                <w:szCs w:val="24"/>
              </w:rPr>
              <w:t>ation target of zero, which added</w:t>
            </w:r>
            <w:r w:rsidR="00AA1307" w:rsidRPr="00F56339">
              <w:rPr>
                <w:rFonts w:ascii="Times New Roman" w:hAnsi="Times New Roman" w:cs="Times New Roman"/>
                <w:sz w:val="24"/>
                <w:szCs w:val="24"/>
              </w:rPr>
              <w:t xml:space="preserve"> an additional half a percenta</w:t>
            </w:r>
            <w:r w:rsidR="00AA1307">
              <w:rPr>
                <w:rFonts w:ascii="Times New Roman" w:hAnsi="Times New Roman" w:cs="Times New Roman"/>
                <w:sz w:val="24"/>
                <w:szCs w:val="24"/>
              </w:rPr>
              <w:t>g</w:t>
            </w:r>
            <w:r w:rsidR="001B618B" w:rsidRPr="00F56339">
              <w:rPr>
                <w:rFonts w:ascii="Times New Roman" w:hAnsi="Times New Roman" w:cs="Times New Roman"/>
                <w:sz w:val="24"/>
                <w:szCs w:val="24"/>
              </w:rPr>
              <w:t xml:space="preserve">e point, assuming one uses the 1993 Taylor response parameters. </w:t>
            </w:r>
            <w:r w:rsidR="00E6051C" w:rsidRPr="00F56339">
              <w:rPr>
                <w:rFonts w:ascii="Times New Roman" w:hAnsi="Times New Roman" w:cs="Times New Roman"/>
                <w:sz w:val="24"/>
                <w:szCs w:val="24"/>
              </w:rPr>
              <w:t xml:space="preserve"> Figure </w:t>
            </w:r>
            <w:r w:rsidR="00AA1307">
              <w:rPr>
                <w:rFonts w:ascii="Times New Roman" w:hAnsi="Times New Roman" w:cs="Times New Roman"/>
                <w:sz w:val="24"/>
                <w:szCs w:val="24"/>
              </w:rPr>
              <w:t>9</w:t>
            </w:r>
            <w:r w:rsidR="00E6051C" w:rsidRPr="00F56339">
              <w:rPr>
                <w:rFonts w:ascii="Times New Roman" w:hAnsi="Times New Roman" w:cs="Times New Roman"/>
                <w:sz w:val="24"/>
                <w:szCs w:val="24"/>
              </w:rPr>
              <w:t xml:space="preserve"> shows, </w:t>
            </w:r>
            <w:r w:rsidR="00AA1307">
              <w:rPr>
                <w:rFonts w:ascii="Times New Roman" w:hAnsi="Times New Roman" w:cs="Times New Roman"/>
                <w:sz w:val="24"/>
                <w:szCs w:val="24"/>
              </w:rPr>
              <w:t>u</w:t>
            </w:r>
            <w:r w:rsidR="00AA1307" w:rsidRPr="00CC1280">
              <w:rPr>
                <w:rFonts w:ascii="Times New Roman" w:hAnsi="Times New Roman" w:cs="Times New Roman"/>
                <w:sz w:val="24"/>
                <w:szCs w:val="24"/>
              </w:rPr>
              <w:t>sing my output gap measure</w:t>
            </w:r>
            <w:r w:rsidR="00BA50B7">
              <w:rPr>
                <w:rFonts w:ascii="Times New Roman" w:hAnsi="Times New Roman" w:cs="Times New Roman"/>
                <w:sz w:val="24"/>
                <w:szCs w:val="24"/>
              </w:rPr>
              <w:t xml:space="preserve">, </w:t>
            </w:r>
            <w:r w:rsidR="00E6051C">
              <w:rPr>
                <w:rFonts w:ascii="Times New Roman" w:hAnsi="Times New Roman" w:cs="Times New Roman"/>
                <w:sz w:val="24"/>
                <w:szCs w:val="24"/>
              </w:rPr>
              <w:t>what assuming a natural rate twice as high and an inflation target of zero implies</w:t>
            </w:r>
            <w:r w:rsidR="00AA1307" w:rsidRPr="00473B2B">
              <w:rPr>
                <w:rFonts w:ascii="Times New Roman" w:hAnsi="Times New Roman" w:cs="Times New Roman"/>
                <w:sz w:val="24"/>
                <w:szCs w:val="24"/>
              </w:rPr>
              <w:t xml:space="preserve"> for</w:t>
            </w:r>
            <w:r w:rsidR="00AA1307">
              <w:rPr>
                <w:rFonts w:ascii="Times New Roman" w:hAnsi="Times New Roman" w:cs="Times New Roman"/>
                <w:sz w:val="24"/>
                <w:szCs w:val="24"/>
              </w:rPr>
              <w:t xml:space="preserve"> the critical period 1923-29</w:t>
            </w:r>
            <w:r w:rsidR="00BA50B7">
              <w:rPr>
                <w:rFonts w:ascii="Times New Roman" w:hAnsi="Times New Roman" w:cs="Times New Roman"/>
                <w:sz w:val="24"/>
                <w:szCs w:val="24"/>
              </w:rPr>
              <w:t xml:space="preserve">.  </w:t>
            </w:r>
            <w:r w:rsidR="00AA1307">
              <w:rPr>
                <w:rFonts w:ascii="Times New Roman" w:hAnsi="Times New Roman" w:cs="Times New Roman"/>
                <w:sz w:val="24"/>
                <w:szCs w:val="24"/>
              </w:rPr>
              <w:t>Th</w:t>
            </w:r>
            <w:r w:rsidR="00BA50B7">
              <w:rPr>
                <w:rFonts w:ascii="Times New Roman" w:hAnsi="Times New Roman" w:cs="Times New Roman"/>
                <w:sz w:val="24"/>
                <w:szCs w:val="24"/>
              </w:rPr>
              <w:t>e Taylor rule recommendation</w:t>
            </w:r>
            <w:r w:rsidR="00AA1307">
              <w:rPr>
                <w:rFonts w:ascii="Times New Roman" w:hAnsi="Times New Roman" w:cs="Times New Roman"/>
                <w:sz w:val="24"/>
                <w:szCs w:val="24"/>
              </w:rPr>
              <w:t>s are</w:t>
            </w:r>
            <w:r w:rsidR="00BA50B7">
              <w:rPr>
                <w:rFonts w:ascii="Times New Roman" w:hAnsi="Times New Roman" w:cs="Times New Roman"/>
                <w:sz w:val="24"/>
                <w:szCs w:val="24"/>
              </w:rPr>
              <w:t xml:space="preserve"> </w:t>
            </w:r>
            <w:r w:rsidR="00AA1307">
              <w:rPr>
                <w:rFonts w:ascii="Times New Roman" w:hAnsi="Times New Roman" w:cs="Times New Roman"/>
                <w:sz w:val="24"/>
                <w:szCs w:val="24"/>
              </w:rPr>
              <w:t xml:space="preserve">now </w:t>
            </w:r>
            <w:r w:rsidR="00BA50B7">
              <w:rPr>
                <w:rFonts w:ascii="Times New Roman" w:hAnsi="Times New Roman" w:cs="Times New Roman"/>
                <w:sz w:val="24"/>
                <w:szCs w:val="24"/>
              </w:rPr>
              <w:t>that rates s</w:t>
            </w:r>
            <w:r w:rsidR="00E6051C">
              <w:rPr>
                <w:rFonts w:ascii="Times New Roman" w:hAnsi="Times New Roman" w:cs="Times New Roman"/>
                <w:sz w:val="24"/>
                <w:szCs w:val="24"/>
              </w:rPr>
              <w:t>hould have been above the actual</w:t>
            </w:r>
            <w:r w:rsidR="00BA50B7">
              <w:rPr>
                <w:rFonts w:ascii="Times New Roman" w:hAnsi="Times New Roman" w:cs="Times New Roman"/>
                <w:sz w:val="24"/>
                <w:szCs w:val="24"/>
              </w:rPr>
              <w:t xml:space="preserve"> policy rate from April 1923 through March </w:t>
            </w:r>
            <w:r w:rsidR="00BA50B7">
              <w:rPr>
                <w:rFonts w:ascii="Times New Roman" w:hAnsi="Times New Roman" w:cs="Times New Roman"/>
                <w:sz w:val="24"/>
                <w:szCs w:val="24"/>
              </w:rPr>
              <w:lastRenderedPageBreak/>
              <w:t xml:space="preserve">of 1924 (except December 1923), from May 1925 through June of 1926, and in July and August of 1929. </w:t>
            </w:r>
          </w:p>
          <w:p w14:paraId="0D4BD68C" w14:textId="52A9908B" w:rsidR="00FD1AC3" w:rsidRDefault="00AA1307" w:rsidP="00F56339">
            <w:pPr>
              <w:spacing w:line="480" w:lineRule="auto"/>
              <w:ind w:firstLine="576"/>
              <w:rPr>
                <w:rFonts w:ascii="Times New Roman" w:hAnsi="Times New Roman" w:cs="Times New Roman"/>
                <w:sz w:val="24"/>
                <w:szCs w:val="24"/>
              </w:rPr>
            </w:pPr>
            <w:r>
              <w:rPr>
                <w:rFonts w:ascii="Times New Roman" w:hAnsi="Times New Roman" w:cs="Times New Roman"/>
                <w:sz w:val="24"/>
                <w:szCs w:val="24"/>
              </w:rPr>
              <w:t>If one</w:t>
            </w:r>
            <w:r w:rsidR="00BA50B7">
              <w:rPr>
                <w:rFonts w:ascii="Times New Roman" w:hAnsi="Times New Roman" w:cs="Times New Roman"/>
                <w:sz w:val="24"/>
                <w:szCs w:val="24"/>
              </w:rPr>
              <w:t xml:space="preserve"> accept</w:t>
            </w:r>
            <w:r>
              <w:rPr>
                <w:rFonts w:ascii="Times New Roman" w:hAnsi="Times New Roman" w:cs="Times New Roman"/>
                <w:sz w:val="24"/>
                <w:szCs w:val="24"/>
              </w:rPr>
              <w:t>s</w:t>
            </w:r>
            <w:r w:rsidR="00BA50B7">
              <w:rPr>
                <w:rFonts w:ascii="Times New Roman" w:hAnsi="Times New Roman" w:cs="Times New Roman"/>
                <w:sz w:val="24"/>
                <w:szCs w:val="24"/>
              </w:rPr>
              <w:t xml:space="preserve"> these assumptions, </w:t>
            </w:r>
            <w:r w:rsidR="00DB36F6">
              <w:rPr>
                <w:rFonts w:ascii="Times New Roman" w:hAnsi="Times New Roman" w:cs="Times New Roman"/>
                <w:sz w:val="24"/>
                <w:szCs w:val="24"/>
              </w:rPr>
              <w:t xml:space="preserve">particularly the view that the natural rate was </w:t>
            </w:r>
            <w:r w:rsidR="00F13286">
              <w:rPr>
                <w:rFonts w:ascii="Times New Roman" w:hAnsi="Times New Roman" w:cs="Times New Roman"/>
                <w:sz w:val="24"/>
                <w:szCs w:val="24"/>
              </w:rPr>
              <w:t>four</w:t>
            </w:r>
            <w:r w:rsidR="00DB36F6">
              <w:rPr>
                <w:rFonts w:ascii="Times New Roman" w:hAnsi="Times New Roman" w:cs="Times New Roman"/>
                <w:sz w:val="24"/>
                <w:szCs w:val="24"/>
              </w:rPr>
              <w:t xml:space="preserve"> percent throughout the 1920s,</w:t>
            </w:r>
            <w:r w:rsidR="00E817F7">
              <w:rPr>
                <w:rStyle w:val="FootnoteReference"/>
                <w:rFonts w:ascii="Times New Roman" w:hAnsi="Times New Roman" w:cs="Times New Roman"/>
                <w:sz w:val="24"/>
                <w:szCs w:val="24"/>
              </w:rPr>
              <w:footnoteReference w:id="25"/>
            </w:r>
            <w:r w:rsidR="00DB36F6">
              <w:rPr>
                <w:rFonts w:ascii="Times New Roman" w:hAnsi="Times New Roman" w:cs="Times New Roman"/>
                <w:sz w:val="24"/>
                <w:szCs w:val="24"/>
              </w:rPr>
              <w:t xml:space="preserve"> </w:t>
            </w:r>
            <w:r w:rsidR="00BA50B7">
              <w:rPr>
                <w:rFonts w:ascii="Times New Roman" w:hAnsi="Times New Roman" w:cs="Times New Roman"/>
                <w:sz w:val="24"/>
                <w:szCs w:val="24"/>
              </w:rPr>
              <w:t xml:space="preserve">there might be warrant for believing that too low rates were partly responsible for the </w:t>
            </w:r>
            <w:r w:rsidR="00DB36F6">
              <w:rPr>
                <w:rFonts w:ascii="Times New Roman" w:hAnsi="Times New Roman" w:cs="Times New Roman"/>
                <w:sz w:val="24"/>
                <w:szCs w:val="24"/>
              </w:rPr>
              <w:t xml:space="preserve">mid-decade </w:t>
            </w:r>
            <w:r w:rsidR="00BA50B7">
              <w:rPr>
                <w:rFonts w:ascii="Times New Roman" w:hAnsi="Times New Roman" w:cs="Times New Roman"/>
                <w:sz w:val="24"/>
                <w:szCs w:val="24"/>
              </w:rPr>
              <w:t>resid</w:t>
            </w:r>
            <w:r>
              <w:rPr>
                <w:rFonts w:ascii="Times New Roman" w:hAnsi="Times New Roman" w:cs="Times New Roman"/>
                <w:sz w:val="24"/>
                <w:szCs w:val="24"/>
              </w:rPr>
              <w:t xml:space="preserve">ential real estate boom.  </w:t>
            </w:r>
            <w:r w:rsidR="004C003D">
              <w:rPr>
                <w:rFonts w:ascii="Times New Roman" w:hAnsi="Times New Roman" w:cs="Times New Roman"/>
                <w:sz w:val="24"/>
                <w:szCs w:val="24"/>
              </w:rPr>
              <w:t>White considers this possibility</w:t>
            </w:r>
            <w:r w:rsidR="005A62F8">
              <w:rPr>
                <w:rFonts w:ascii="Times New Roman" w:hAnsi="Times New Roman" w:cs="Times New Roman"/>
                <w:sz w:val="24"/>
                <w:szCs w:val="24"/>
              </w:rPr>
              <w:t>, but is skeptical. A</w:t>
            </w:r>
            <w:r w:rsidR="004C003D">
              <w:rPr>
                <w:rFonts w:ascii="Times New Roman" w:hAnsi="Times New Roman" w:cs="Times New Roman"/>
                <w:sz w:val="24"/>
                <w:szCs w:val="24"/>
              </w:rPr>
              <w:t>s he</w:t>
            </w:r>
            <w:r w:rsidR="00E6051C">
              <w:rPr>
                <w:rFonts w:ascii="Times New Roman" w:hAnsi="Times New Roman" w:cs="Times New Roman"/>
                <w:sz w:val="24"/>
                <w:szCs w:val="24"/>
              </w:rPr>
              <w:t xml:space="preserve"> notes, there was</w:t>
            </w:r>
            <w:r w:rsidR="00BA50B7">
              <w:rPr>
                <w:rFonts w:ascii="Times New Roman" w:hAnsi="Times New Roman" w:cs="Times New Roman"/>
                <w:sz w:val="24"/>
                <w:szCs w:val="24"/>
              </w:rPr>
              <w:t xml:space="preserve"> little connection be</w:t>
            </w:r>
            <w:r w:rsidR="00E6051C">
              <w:rPr>
                <w:rFonts w:ascii="Times New Roman" w:hAnsi="Times New Roman" w:cs="Times New Roman"/>
                <w:sz w:val="24"/>
                <w:szCs w:val="24"/>
              </w:rPr>
              <w:t>t</w:t>
            </w:r>
            <w:r w:rsidR="004257B3">
              <w:rPr>
                <w:rFonts w:ascii="Times New Roman" w:hAnsi="Times New Roman" w:cs="Times New Roman"/>
                <w:sz w:val="24"/>
                <w:szCs w:val="24"/>
              </w:rPr>
              <w:t xml:space="preserve">ween short term </w:t>
            </w:r>
            <w:r w:rsidR="00FD1AC3">
              <w:rPr>
                <w:rFonts w:ascii="Times New Roman" w:hAnsi="Times New Roman" w:cs="Times New Roman"/>
                <w:sz w:val="24"/>
                <w:szCs w:val="24"/>
              </w:rPr>
              <w:t xml:space="preserve">rates </w:t>
            </w:r>
            <w:r w:rsidR="00BA50B7">
              <w:rPr>
                <w:rFonts w:ascii="Times New Roman" w:hAnsi="Times New Roman" w:cs="Times New Roman"/>
                <w:sz w:val="24"/>
                <w:szCs w:val="24"/>
              </w:rPr>
              <w:t>and mortgage</w:t>
            </w:r>
            <w:r>
              <w:rPr>
                <w:rFonts w:ascii="Times New Roman" w:hAnsi="Times New Roman" w:cs="Times New Roman"/>
                <w:sz w:val="24"/>
                <w:szCs w:val="24"/>
              </w:rPr>
              <w:t xml:space="preserve"> rates. </w:t>
            </w:r>
            <w:r w:rsidR="005A62F8">
              <w:rPr>
                <w:rFonts w:ascii="Times New Roman" w:hAnsi="Times New Roman" w:cs="Times New Roman"/>
                <w:sz w:val="24"/>
                <w:szCs w:val="24"/>
              </w:rPr>
              <w:t xml:space="preserve">And there does not seem to be evidence of a significant deterioration in lending standards during this period. </w:t>
            </w:r>
            <w:r w:rsidR="00DB36F6">
              <w:rPr>
                <w:rFonts w:ascii="Times New Roman" w:hAnsi="Times New Roman" w:cs="Times New Roman"/>
                <w:sz w:val="24"/>
                <w:szCs w:val="24"/>
              </w:rPr>
              <w:t>T</w:t>
            </w:r>
            <w:r w:rsidR="00BA50B7">
              <w:rPr>
                <w:rFonts w:ascii="Times New Roman" w:hAnsi="Times New Roman" w:cs="Times New Roman"/>
                <w:sz w:val="24"/>
                <w:szCs w:val="24"/>
              </w:rPr>
              <w:t xml:space="preserve">he last half of 1929 provides powerful evidence of </w:t>
            </w:r>
            <w:r w:rsidR="0058648B">
              <w:rPr>
                <w:rFonts w:ascii="Times New Roman" w:hAnsi="Times New Roman" w:cs="Times New Roman"/>
                <w:sz w:val="24"/>
                <w:szCs w:val="24"/>
              </w:rPr>
              <w:t xml:space="preserve">what would </w:t>
            </w:r>
            <w:r w:rsidR="00DB36F6">
              <w:rPr>
                <w:rFonts w:ascii="Times New Roman" w:hAnsi="Times New Roman" w:cs="Times New Roman"/>
                <w:sz w:val="24"/>
                <w:szCs w:val="24"/>
              </w:rPr>
              <w:t xml:space="preserve">likely </w:t>
            </w:r>
            <w:r w:rsidR="00FD1AC3">
              <w:rPr>
                <w:rFonts w:ascii="Times New Roman" w:hAnsi="Times New Roman" w:cs="Times New Roman"/>
                <w:sz w:val="24"/>
                <w:szCs w:val="24"/>
              </w:rPr>
              <w:t xml:space="preserve">have </w:t>
            </w:r>
            <w:r w:rsidR="0058648B">
              <w:rPr>
                <w:rFonts w:ascii="Times New Roman" w:hAnsi="Times New Roman" w:cs="Times New Roman"/>
                <w:sz w:val="24"/>
                <w:szCs w:val="24"/>
              </w:rPr>
              <w:t xml:space="preserve">been </w:t>
            </w:r>
            <w:r w:rsidR="00BA50B7">
              <w:rPr>
                <w:rFonts w:ascii="Times New Roman" w:hAnsi="Times New Roman" w:cs="Times New Roman"/>
                <w:sz w:val="24"/>
                <w:szCs w:val="24"/>
              </w:rPr>
              <w:t>the damaging effect</w:t>
            </w:r>
            <w:r w:rsidR="00E6051C">
              <w:rPr>
                <w:rFonts w:ascii="Times New Roman" w:hAnsi="Times New Roman" w:cs="Times New Roman"/>
                <w:sz w:val="24"/>
                <w:szCs w:val="24"/>
              </w:rPr>
              <w:t xml:space="preserve"> </w:t>
            </w:r>
            <w:r w:rsidR="00BA50B7">
              <w:rPr>
                <w:rFonts w:ascii="Times New Roman" w:hAnsi="Times New Roman" w:cs="Times New Roman"/>
                <w:sz w:val="24"/>
                <w:szCs w:val="24"/>
              </w:rPr>
              <w:t>of higher policy rates</w:t>
            </w:r>
            <w:r w:rsidR="0058648B">
              <w:rPr>
                <w:rFonts w:ascii="Times New Roman" w:hAnsi="Times New Roman" w:cs="Times New Roman"/>
                <w:sz w:val="24"/>
                <w:szCs w:val="24"/>
              </w:rPr>
              <w:t xml:space="preserve"> </w:t>
            </w:r>
            <w:r w:rsidR="004C003D">
              <w:rPr>
                <w:rFonts w:ascii="Times New Roman" w:hAnsi="Times New Roman" w:cs="Times New Roman"/>
                <w:sz w:val="24"/>
                <w:szCs w:val="24"/>
              </w:rPr>
              <w:t xml:space="preserve">on the real economy </w:t>
            </w:r>
            <w:r w:rsidR="004257B3">
              <w:rPr>
                <w:rFonts w:ascii="Times New Roman" w:hAnsi="Times New Roman" w:cs="Times New Roman"/>
                <w:sz w:val="24"/>
                <w:szCs w:val="24"/>
              </w:rPr>
              <w:t xml:space="preserve">had they been adopted </w:t>
            </w:r>
            <w:r w:rsidR="0058648B">
              <w:rPr>
                <w:rFonts w:ascii="Times New Roman" w:hAnsi="Times New Roman" w:cs="Times New Roman"/>
                <w:sz w:val="24"/>
                <w:szCs w:val="24"/>
              </w:rPr>
              <w:t>earlier in the decade</w:t>
            </w:r>
            <w:r w:rsidR="00DB36F6">
              <w:rPr>
                <w:rFonts w:ascii="Times New Roman" w:hAnsi="Times New Roman" w:cs="Times New Roman"/>
                <w:sz w:val="24"/>
                <w:szCs w:val="24"/>
              </w:rPr>
              <w:t xml:space="preserve">.  </w:t>
            </w:r>
          </w:p>
          <w:p w14:paraId="13B61F4D" w14:textId="5BB158D9" w:rsidR="00BA50B7" w:rsidRPr="00F56339" w:rsidRDefault="00DB36F6" w:rsidP="00F56339">
            <w:pPr>
              <w:spacing w:line="480" w:lineRule="auto"/>
              <w:ind w:firstLine="576"/>
              <w:rPr>
                <w:rFonts w:ascii="Times New Roman" w:hAnsi="Times New Roman" w:cs="Times New Roman"/>
                <w:sz w:val="24"/>
                <w:szCs w:val="24"/>
              </w:rPr>
            </w:pPr>
            <w:r>
              <w:rPr>
                <w:rFonts w:ascii="Times New Roman" w:hAnsi="Times New Roman" w:cs="Times New Roman"/>
                <w:sz w:val="24"/>
                <w:szCs w:val="24"/>
              </w:rPr>
              <w:t>The discount</w:t>
            </w:r>
            <w:r w:rsidR="0058648B">
              <w:rPr>
                <w:rFonts w:ascii="Times New Roman" w:hAnsi="Times New Roman" w:cs="Times New Roman"/>
                <w:sz w:val="24"/>
                <w:szCs w:val="24"/>
              </w:rPr>
              <w:t xml:space="preserve"> rate was much more closely connected to the costs of borrowing to invest in the stock market</w:t>
            </w:r>
            <w:r>
              <w:rPr>
                <w:rFonts w:ascii="Times New Roman" w:hAnsi="Times New Roman" w:cs="Times New Roman"/>
                <w:sz w:val="24"/>
                <w:szCs w:val="24"/>
              </w:rPr>
              <w:t xml:space="preserve"> (see figure 1).  F</w:t>
            </w:r>
            <w:r w:rsidR="0058648B">
              <w:rPr>
                <w:rFonts w:ascii="Times New Roman" w:hAnsi="Times New Roman" w:cs="Times New Roman"/>
                <w:sz w:val="24"/>
                <w:szCs w:val="24"/>
              </w:rPr>
              <w:t>or the equities boom in the second</w:t>
            </w:r>
            <w:r w:rsidR="00AA1307">
              <w:rPr>
                <w:rFonts w:ascii="Times New Roman" w:hAnsi="Times New Roman" w:cs="Times New Roman"/>
                <w:sz w:val="24"/>
                <w:szCs w:val="24"/>
              </w:rPr>
              <w:t xml:space="preserve"> half of the decade, </w:t>
            </w:r>
            <w:r>
              <w:rPr>
                <w:rFonts w:ascii="Times New Roman" w:hAnsi="Times New Roman" w:cs="Times New Roman"/>
                <w:sz w:val="24"/>
                <w:szCs w:val="24"/>
              </w:rPr>
              <w:t>however,</w:t>
            </w:r>
            <w:r w:rsidR="004257B3">
              <w:rPr>
                <w:rFonts w:ascii="Times New Roman" w:hAnsi="Times New Roman" w:cs="Times New Roman"/>
                <w:sz w:val="24"/>
                <w:szCs w:val="24"/>
              </w:rPr>
              <w:t xml:space="preserve"> </w:t>
            </w:r>
            <w:r w:rsidR="00AA1307">
              <w:rPr>
                <w:rFonts w:ascii="Times New Roman" w:hAnsi="Times New Roman" w:cs="Times New Roman"/>
                <w:sz w:val="24"/>
                <w:szCs w:val="24"/>
              </w:rPr>
              <w:t>there is little</w:t>
            </w:r>
            <w:r w:rsidR="0058648B">
              <w:rPr>
                <w:rFonts w:ascii="Times New Roman" w:hAnsi="Times New Roman" w:cs="Times New Roman"/>
                <w:sz w:val="24"/>
                <w:szCs w:val="24"/>
              </w:rPr>
              <w:t xml:space="preserve"> plausible</w:t>
            </w:r>
            <w:r w:rsidR="004257B3">
              <w:rPr>
                <w:rFonts w:ascii="Times New Roman" w:hAnsi="Times New Roman" w:cs="Times New Roman"/>
                <w:sz w:val="24"/>
                <w:szCs w:val="24"/>
              </w:rPr>
              <w:t xml:space="preserve"> argument that “too low” rates caused</w:t>
            </w:r>
            <w:r w:rsidR="0058648B">
              <w:rPr>
                <w:rFonts w:ascii="Times New Roman" w:hAnsi="Times New Roman" w:cs="Times New Roman"/>
                <w:sz w:val="24"/>
                <w:szCs w:val="24"/>
              </w:rPr>
              <w:t xml:space="preserve"> the asset bubb</w:t>
            </w:r>
            <w:r>
              <w:rPr>
                <w:rFonts w:ascii="Times New Roman" w:hAnsi="Times New Roman" w:cs="Times New Roman"/>
                <w:sz w:val="24"/>
                <w:szCs w:val="24"/>
              </w:rPr>
              <w:t>le.  Even in figure 9</w:t>
            </w:r>
            <w:r w:rsidR="0058648B">
              <w:rPr>
                <w:rFonts w:ascii="Times New Roman" w:hAnsi="Times New Roman" w:cs="Times New Roman"/>
                <w:sz w:val="24"/>
                <w:szCs w:val="24"/>
              </w:rPr>
              <w:t>, the Taylor rule recommendations are below t</w:t>
            </w:r>
            <w:r w:rsidR="00E6051C">
              <w:rPr>
                <w:rFonts w:ascii="Times New Roman" w:hAnsi="Times New Roman" w:cs="Times New Roman"/>
                <w:sz w:val="24"/>
                <w:szCs w:val="24"/>
              </w:rPr>
              <w:t>he policy rate from June of 1926</w:t>
            </w:r>
            <w:r w:rsidR="0058648B">
              <w:rPr>
                <w:rFonts w:ascii="Times New Roman" w:hAnsi="Times New Roman" w:cs="Times New Roman"/>
                <w:sz w:val="24"/>
                <w:szCs w:val="24"/>
              </w:rPr>
              <w:t xml:space="preserve"> through the end of the decade, with the excep</w:t>
            </w:r>
            <w:r w:rsidR="00E6051C">
              <w:rPr>
                <w:rFonts w:ascii="Times New Roman" w:hAnsi="Times New Roman" w:cs="Times New Roman"/>
                <w:sz w:val="24"/>
                <w:szCs w:val="24"/>
              </w:rPr>
              <w:t>tion of July 1929</w:t>
            </w:r>
            <w:r w:rsidR="00AA1307">
              <w:rPr>
                <w:rFonts w:ascii="Times New Roman" w:hAnsi="Times New Roman" w:cs="Times New Roman"/>
                <w:sz w:val="24"/>
                <w:szCs w:val="24"/>
              </w:rPr>
              <w:t xml:space="preserve">, </w:t>
            </w:r>
            <w:r w:rsidR="004257B3">
              <w:rPr>
                <w:rFonts w:ascii="Times New Roman" w:hAnsi="Times New Roman" w:cs="Times New Roman"/>
                <w:sz w:val="24"/>
                <w:szCs w:val="24"/>
              </w:rPr>
              <w:t xml:space="preserve">just before </w:t>
            </w:r>
            <w:r w:rsidR="00E6051C">
              <w:rPr>
                <w:rFonts w:ascii="Times New Roman" w:hAnsi="Times New Roman" w:cs="Times New Roman"/>
                <w:sz w:val="24"/>
                <w:szCs w:val="24"/>
              </w:rPr>
              <w:t xml:space="preserve">the </w:t>
            </w:r>
            <w:r>
              <w:rPr>
                <w:rFonts w:ascii="Times New Roman" w:hAnsi="Times New Roman" w:cs="Times New Roman"/>
                <w:sz w:val="24"/>
                <w:szCs w:val="24"/>
              </w:rPr>
              <w:t>Fed in</w:t>
            </w:r>
            <w:r w:rsidR="004257B3">
              <w:rPr>
                <w:rFonts w:ascii="Times New Roman" w:hAnsi="Times New Roman" w:cs="Times New Roman"/>
                <w:sz w:val="24"/>
                <w:szCs w:val="24"/>
              </w:rPr>
              <w:t>itiated a further sharp increase</w:t>
            </w:r>
            <w:r w:rsidR="00E6051C">
              <w:rPr>
                <w:rFonts w:ascii="Times New Roman" w:hAnsi="Times New Roman" w:cs="Times New Roman"/>
                <w:sz w:val="24"/>
                <w:szCs w:val="24"/>
              </w:rPr>
              <w:t xml:space="preserve"> in </w:t>
            </w:r>
            <w:r w:rsidR="00AA1307">
              <w:rPr>
                <w:rFonts w:ascii="Times New Roman" w:hAnsi="Times New Roman" w:cs="Times New Roman"/>
                <w:sz w:val="24"/>
                <w:szCs w:val="24"/>
              </w:rPr>
              <w:t xml:space="preserve">nominal/real rates </w:t>
            </w:r>
            <w:r w:rsidR="00FD1AC3">
              <w:rPr>
                <w:rFonts w:ascii="Times New Roman" w:hAnsi="Times New Roman" w:cs="Times New Roman"/>
                <w:sz w:val="24"/>
                <w:szCs w:val="24"/>
              </w:rPr>
              <w:t xml:space="preserve">that </w:t>
            </w:r>
            <w:r w:rsidR="004257B3">
              <w:rPr>
                <w:rFonts w:ascii="Times New Roman" w:hAnsi="Times New Roman" w:cs="Times New Roman"/>
                <w:sz w:val="24"/>
                <w:szCs w:val="24"/>
              </w:rPr>
              <w:t>began t</w:t>
            </w:r>
            <w:r w:rsidR="006D4A44">
              <w:rPr>
                <w:rFonts w:ascii="Times New Roman" w:hAnsi="Times New Roman" w:cs="Times New Roman"/>
                <w:sz w:val="24"/>
                <w:szCs w:val="24"/>
              </w:rPr>
              <w:t>he economy’s devolution</w:t>
            </w:r>
            <w:bookmarkStart w:id="0" w:name="_GoBack"/>
            <w:bookmarkEnd w:id="0"/>
            <w:r w:rsidR="00E6051C">
              <w:rPr>
                <w:rFonts w:ascii="Times New Roman" w:hAnsi="Times New Roman" w:cs="Times New Roman"/>
                <w:sz w:val="24"/>
                <w:szCs w:val="24"/>
              </w:rPr>
              <w:t xml:space="preserve"> into the Great Depression.</w:t>
            </w:r>
            <w:r w:rsidR="0058648B">
              <w:rPr>
                <w:rFonts w:ascii="Times New Roman" w:hAnsi="Times New Roman" w:cs="Times New Roman"/>
                <w:sz w:val="24"/>
                <w:szCs w:val="24"/>
              </w:rPr>
              <w:t xml:space="preserve"> </w:t>
            </w:r>
          </w:p>
          <w:p w14:paraId="3F30B991" w14:textId="10D9D481" w:rsidR="00BA50B7" w:rsidRDefault="00BA50B7">
            <w:pPr>
              <w:spacing w:line="480" w:lineRule="auto"/>
              <w:ind w:firstLine="576"/>
              <w:rPr>
                <w:rFonts w:ascii="Times New Roman" w:hAnsi="Times New Roman" w:cs="Times New Roman"/>
                <w:sz w:val="24"/>
                <w:szCs w:val="24"/>
              </w:rPr>
            </w:pPr>
            <w:r>
              <w:rPr>
                <w:noProof/>
              </w:rPr>
              <w:lastRenderedPageBreak/>
              <w:drawing>
                <wp:inline distT="0" distB="0" distL="0" distR="0" wp14:anchorId="0FBA2179" wp14:editId="3D1780FB">
                  <wp:extent cx="5657850" cy="38290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32EE234" w14:textId="77777777" w:rsidR="00317C03" w:rsidRDefault="00317C03">
            <w:pPr>
              <w:spacing w:line="480" w:lineRule="auto"/>
              <w:rPr>
                <w:rFonts w:ascii="Times New Roman" w:hAnsi="Times New Roman" w:cs="Times New Roman"/>
                <w:b/>
                <w:sz w:val="24"/>
                <w:szCs w:val="24"/>
              </w:rPr>
            </w:pPr>
            <w:r>
              <w:rPr>
                <w:rFonts w:ascii="Times New Roman" w:hAnsi="Times New Roman" w:cs="Times New Roman"/>
                <w:b/>
                <w:sz w:val="24"/>
                <w:szCs w:val="24"/>
              </w:rPr>
              <w:t>Conclusion</w:t>
            </w:r>
          </w:p>
          <w:p w14:paraId="6EA33CC6" w14:textId="4E7C1FF7" w:rsidR="00B31BEC" w:rsidRPr="009F3FFE" w:rsidRDefault="005279B0">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 xml:space="preserve">John Taylor was of course not present in the 1920s, and thus unable to offer his counsel to monetary policy makers.  But there were a number of strong voices in the central bank prospectively channeling his concerns that “too low” interest rates might be fueling what was correctly perceived as a speculative bubble in the stock market.  Starting in </w:t>
            </w:r>
            <w:r w:rsidR="004257B3">
              <w:rPr>
                <w:rFonts w:ascii="Times New Roman" w:hAnsi="Times New Roman" w:cs="Times New Roman"/>
                <w:sz w:val="24"/>
                <w:szCs w:val="24"/>
              </w:rPr>
              <w:t>February</w:t>
            </w:r>
            <w:r w:rsidRPr="009F3FFE">
              <w:rPr>
                <w:rFonts w:ascii="Times New Roman" w:hAnsi="Times New Roman" w:cs="Times New Roman"/>
                <w:sz w:val="24"/>
                <w:szCs w:val="24"/>
              </w:rPr>
              <w:t xml:space="preserve">1928, their views prevailed, as the discount rate was raised from </w:t>
            </w:r>
            <w:r w:rsidR="004257B3">
              <w:rPr>
                <w:rFonts w:ascii="Times New Roman" w:hAnsi="Times New Roman" w:cs="Times New Roman"/>
                <w:sz w:val="24"/>
                <w:szCs w:val="24"/>
              </w:rPr>
              <w:t xml:space="preserve">3.5 </w:t>
            </w:r>
            <w:r w:rsidR="00AF70A0">
              <w:rPr>
                <w:rFonts w:ascii="Times New Roman" w:hAnsi="Times New Roman" w:cs="Times New Roman"/>
                <w:sz w:val="24"/>
                <w:szCs w:val="24"/>
              </w:rPr>
              <w:t xml:space="preserve">percent to </w:t>
            </w:r>
            <w:r w:rsidR="004257B3">
              <w:rPr>
                <w:rFonts w:ascii="Times New Roman" w:hAnsi="Times New Roman" w:cs="Times New Roman"/>
                <w:sz w:val="24"/>
                <w:szCs w:val="24"/>
              </w:rPr>
              <w:t xml:space="preserve">a peak of </w:t>
            </w:r>
            <w:r w:rsidR="00AF70A0">
              <w:rPr>
                <w:rFonts w:ascii="Times New Roman" w:hAnsi="Times New Roman" w:cs="Times New Roman"/>
                <w:sz w:val="24"/>
                <w:szCs w:val="24"/>
              </w:rPr>
              <w:t>6 percent</w:t>
            </w:r>
            <w:r w:rsidR="004257B3">
              <w:rPr>
                <w:rFonts w:ascii="Times New Roman" w:hAnsi="Times New Roman" w:cs="Times New Roman"/>
                <w:sz w:val="24"/>
                <w:szCs w:val="24"/>
              </w:rPr>
              <w:t xml:space="preserve"> in September and October of 1929</w:t>
            </w:r>
            <w:r w:rsidRPr="009F3FFE">
              <w:rPr>
                <w:rFonts w:ascii="Times New Roman" w:hAnsi="Times New Roman" w:cs="Times New Roman"/>
                <w:sz w:val="24"/>
                <w:szCs w:val="24"/>
              </w:rPr>
              <w:t>. Those advocating for this policy</w:t>
            </w:r>
            <w:r w:rsidR="000C4F53">
              <w:rPr>
                <w:rFonts w:ascii="Times New Roman" w:hAnsi="Times New Roman" w:cs="Times New Roman"/>
                <w:sz w:val="24"/>
                <w:szCs w:val="24"/>
              </w:rPr>
              <w:t xml:space="preserve"> were well aware</w:t>
            </w:r>
            <w:r w:rsidRPr="009F3FFE">
              <w:rPr>
                <w:rFonts w:ascii="Times New Roman" w:hAnsi="Times New Roman" w:cs="Times New Roman"/>
                <w:sz w:val="24"/>
                <w:szCs w:val="24"/>
              </w:rPr>
              <w:t xml:space="preserve"> that an attempt to deflate an ass</w:t>
            </w:r>
            <w:r w:rsidR="00AF70A0">
              <w:rPr>
                <w:rFonts w:ascii="Times New Roman" w:hAnsi="Times New Roman" w:cs="Times New Roman"/>
                <w:sz w:val="24"/>
                <w:szCs w:val="24"/>
              </w:rPr>
              <w:t>et bubble might</w:t>
            </w:r>
            <w:r w:rsidR="008B182A" w:rsidRPr="009F3FFE">
              <w:rPr>
                <w:rFonts w:ascii="Times New Roman" w:hAnsi="Times New Roman" w:cs="Times New Roman"/>
                <w:sz w:val="24"/>
                <w:szCs w:val="24"/>
              </w:rPr>
              <w:t xml:space="preserve"> end up damaging</w:t>
            </w:r>
            <w:r w:rsidRPr="009F3FFE">
              <w:rPr>
                <w:rFonts w:ascii="Times New Roman" w:hAnsi="Times New Roman" w:cs="Times New Roman"/>
                <w:sz w:val="24"/>
                <w:szCs w:val="24"/>
              </w:rPr>
              <w:t xml:space="preserve"> the real economy, and they tried, notably unsuccessfully, to address this, through a policy of discouraging discounting for purposes of increasing margin lending on stocks.  The tight money policy trig</w:t>
            </w:r>
            <w:r w:rsidR="000C4F53">
              <w:rPr>
                <w:rFonts w:ascii="Times New Roman" w:hAnsi="Times New Roman" w:cs="Times New Roman"/>
                <w:sz w:val="24"/>
                <w:szCs w:val="24"/>
              </w:rPr>
              <w:t xml:space="preserve">gered the beginning of a 90 percent nominal, 60 percent real slide </w:t>
            </w:r>
            <w:r w:rsidR="00AF70A0">
              <w:rPr>
                <w:rFonts w:ascii="Times New Roman" w:hAnsi="Times New Roman" w:cs="Times New Roman"/>
                <w:sz w:val="24"/>
                <w:szCs w:val="24"/>
              </w:rPr>
              <w:t xml:space="preserve">in the </w:t>
            </w:r>
            <w:r w:rsidR="0007565D">
              <w:rPr>
                <w:rFonts w:ascii="Times New Roman" w:hAnsi="Times New Roman" w:cs="Times New Roman"/>
                <w:sz w:val="24"/>
                <w:szCs w:val="24"/>
              </w:rPr>
              <w:t>valu</w:t>
            </w:r>
            <w:r w:rsidR="00916CD1">
              <w:rPr>
                <w:rFonts w:ascii="Times New Roman" w:hAnsi="Times New Roman" w:cs="Times New Roman"/>
                <w:sz w:val="24"/>
                <w:szCs w:val="24"/>
              </w:rPr>
              <w:t xml:space="preserve">e of the </w:t>
            </w:r>
            <w:r w:rsidR="000C4F53">
              <w:rPr>
                <w:rFonts w:ascii="Times New Roman" w:hAnsi="Times New Roman" w:cs="Times New Roman"/>
                <w:sz w:val="24"/>
                <w:szCs w:val="24"/>
              </w:rPr>
              <w:t xml:space="preserve">stock market, </w:t>
            </w:r>
            <w:r w:rsidR="00916CD1">
              <w:rPr>
                <w:rFonts w:ascii="Times New Roman" w:hAnsi="Times New Roman" w:cs="Times New Roman"/>
                <w:sz w:val="24"/>
                <w:szCs w:val="24"/>
              </w:rPr>
              <w:lastRenderedPageBreak/>
              <w:t>which unfolded</w:t>
            </w:r>
            <w:r w:rsidR="00AF70A0">
              <w:rPr>
                <w:rFonts w:ascii="Times New Roman" w:hAnsi="Times New Roman" w:cs="Times New Roman"/>
                <w:sz w:val="24"/>
                <w:szCs w:val="24"/>
              </w:rPr>
              <w:t xml:space="preserve"> over the following</w:t>
            </w:r>
            <w:r w:rsidR="002822E4">
              <w:rPr>
                <w:rFonts w:ascii="Times New Roman" w:hAnsi="Times New Roman" w:cs="Times New Roman"/>
                <w:sz w:val="24"/>
                <w:szCs w:val="24"/>
              </w:rPr>
              <w:t xml:space="preserve"> three years</w:t>
            </w:r>
            <w:r w:rsidR="000C4F53">
              <w:rPr>
                <w:rFonts w:ascii="Times New Roman" w:hAnsi="Times New Roman" w:cs="Times New Roman"/>
                <w:sz w:val="24"/>
                <w:szCs w:val="24"/>
              </w:rPr>
              <w:t>,</w:t>
            </w:r>
            <w:r w:rsidRPr="009F3FFE">
              <w:rPr>
                <w:rFonts w:ascii="Times New Roman" w:hAnsi="Times New Roman" w:cs="Times New Roman"/>
                <w:sz w:val="24"/>
                <w:szCs w:val="24"/>
              </w:rPr>
              <w:t xml:space="preserve"> and in the</w:t>
            </w:r>
            <w:r w:rsidR="000C4F53">
              <w:rPr>
                <w:rFonts w:ascii="Times New Roman" w:hAnsi="Times New Roman" w:cs="Times New Roman"/>
                <w:sz w:val="24"/>
                <w:szCs w:val="24"/>
              </w:rPr>
              <w:t xml:space="preserve"> real economy, which declined about 30 percent in real terms </w:t>
            </w:r>
            <w:r w:rsidRPr="009F3FFE">
              <w:rPr>
                <w:rFonts w:ascii="Times New Roman" w:hAnsi="Times New Roman" w:cs="Times New Roman"/>
                <w:sz w:val="24"/>
                <w:szCs w:val="24"/>
              </w:rPr>
              <w:t xml:space="preserve">over </w:t>
            </w:r>
            <w:r w:rsidR="000C4F53">
              <w:rPr>
                <w:rFonts w:ascii="Times New Roman" w:hAnsi="Times New Roman" w:cs="Times New Roman"/>
                <w:sz w:val="24"/>
                <w:szCs w:val="24"/>
              </w:rPr>
              <w:t xml:space="preserve">the subsequent </w:t>
            </w:r>
            <w:r w:rsidRPr="009F3FFE">
              <w:rPr>
                <w:rFonts w:ascii="Times New Roman" w:hAnsi="Times New Roman" w:cs="Times New Roman"/>
                <w:sz w:val="24"/>
                <w:szCs w:val="24"/>
              </w:rPr>
              <w:t>four years.</w:t>
            </w:r>
          </w:p>
          <w:p w14:paraId="24B614E1" w14:textId="4D1104F9" w:rsidR="005279B0" w:rsidRDefault="008B182A">
            <w:pPr>
              <w:spacing w:line="480" w:lineRule="auto"/>
              <w:ind w:firstLine="576"/>
              <w:rPr>
                <w:rFonts w:ascii="Times New Roman" w:hAnsi="Times New Roman" w:cs="Times New Roman"/>
                <w:sz w:val="24"/>
                <w:szCs w:val="24"/>
              </w:rPr>
            </w:pPr>
            <w:r w:rsidRPr="009F3FFE">
              <w:rPr>
                <w:rFonts w:ascii="Times New Roman" w:hAnsi="Times New Roman" w:cs="Times New Roman"/>
                <w:sz w:val="24"/>
                <w:szCs w:val="24"/>
              </w:rPr>
              <w:t xml:space="preserve">What can we learn from this history? First, as in the case of </w:t>
            </w:r>
            <w:r w:rsidR="005279B0" w:rsidRPr="00A277F0">
              <w:rPr>
                <w:rFonts w:ascii="Times New Roman" w:hAnsi="Times New Roman" w:cs="Times New Roman"/>
                <w:sz w:val="24"/>
                <w:szCs w:val="24"/>
              </w:rPr>
              <w:t>Britai</w:t>
            </w:r>
            <w:r w:rsidR="00D25232">
              <w:rPr>
                <w:rFonts w:ascii="Times New Roman" w:hAnsi="Times New Roman" w:cs="Times New Roman"/>
                <w:sz w:val="24"/>
                <w:szCs w:val="24"/>
              </w:rPr>
              <w:t>n or New Zealand’s</w:t>
            </w:r>
            <w:r w:rsidR="00A277F0">
              <w:rPr>
                <w:rFonts w:ascii="Times New Roman" w:hAnsi="Times New Roman" w:cs="Times New Roman"/>
                <w:sz w:val="24"/>
                <w:szCs w:val="24"/>
              </w:rPr>
              <w:t xml:space="preserve"> housing</w:t>
            </w:r>
            <w:r w:rsidR="005279B0" w:rsidRPr="009F3FFE">
              <w:rPr>
                <w:rFonts w:ascii="Times New Roman" w:hAnsi="Times New Roman" w:cs="Times New Roman"/>
                <w:sz w:val="24"/>
                <w:szCs w:val="24"/>
              </w:rPr>
              <w:t xml:space="preserve"> bubble in the 2000s, asset bubbles are quite capable of developing in environments in which policy rates are, by and large, higher tha</w:t>
            </w:r>
            <w:r w:rsidR="00AF70A0">
              <w:rPr>
                <w:rFonts w:ascii="Times New Roman" w:hAnsi="Times New Roman" w:cs="Times New Roman"/>
                <w:sz w:val="24"/>
                <w:szCs w:val="24"/>
              </w:rPr>
              <w:t>n those that would be mandated</w:t>
            </w:r>
            <w:r w:rsidR="005279B0" w:rsidRPr="009F3FFE">
              <w:rPr>
                <w:rFonts w:ascii="Times New Roman" w:hAnsi="Times New Roman" w:cs="Times New Roman"/>
                <w:sz w:val="24"/>
                <w:szCs w:val="24"/>
              </w:rPr>
              <w:t xml:space="preserve"> by a Taylor rule.  Secondly, the experience in the 1920s of trying to deflate a bubble percei</w:t>
            </w:r>
            <w:r w:rsidR="00AF70A0">
              <w:rPr>
                <w:rFonts w:ascii="Times New Roman" w:hAnsi="Times New Roman" w:cs="Times New Roman"/>
                <w:sz w:val="24"/>
                <w:szCs w:val="24"/>
              </w:rPr>
              <w:t>ved to be fueled by rates that we</w:t>
            </w:r>
            <w:r w:rsidR="005279B0" w:rsidRPr="009F3FFE">
              <w:rPr>
                <w:rFonts w:ascii="Times New Roman" w:hAnsi="Times New Roman" w:cs="Times New Roman"/>
                <w:sz w:val="24"/>
                <w:szCs w:val="24"/>
              </w:rPr>
              <w:t>re “too low” by raising them was not a happy one, and sh</w:t>
            </w:r>
            <w:r w:rsidRPr="009F3FFE">
              <w:rPr>
                <w:rFonts w:ascii="Times New Roman" w:hAnsi="Times New Roman" w:cs="Times New Roman"/>
                <w:sz w:val="24"/>
                <w:szCs w:val="24"/>
              </w:rPr>
              <w:t xml:space="preserve">ould give grounds for pause to </w:t>
            </w:r>
            <w:r w:rsidR="005279B0" w:rsidRPr="009F3FFE">
              <w:rPr>
                <w:rFonts w:ascii="Times New Roman" w:hAnsi="Times New Roman" w:cs="Times New Roman"/>
                <w:sz w:val="24"/>
                <w:szCs w:val="24"/>
              </w:rPr>
              <w:t>those who would</w:t>
            </w:r>
            <w:r w:rsidRPr="009F3FFE">
              <w:rPr>
                <w:rFonts w:ascii="Times New Roman" w:hAnsi="Times New Roman" w:cs="Times New Roman"/>
                <w:sz w:val="24"/>
                <w:szCs w:val="24"/>
              </w:rPr>
              <w:t xml:space="preserve"> recommend pursuing similar policies</w:t>
            </w:r>
            <w:r w:rsidR="005279B0" w:rsidRPr="009F3FFE">
              <w:rPr>
                <w:rFonts w:ascii="Times New Roman" w:hAnsi="Times New Roman" w:cs="Times New Roman"/>
                <w:sz w:val="24"/>
                <w:szCs w:val="24"/>
              </w:rPr>
              <w:t>.</w:t>
            </w:r>
          </w:p>
          <w:p w14:paraId="03E43B2D" w14:textId="4D8B2AA3" w:rsidR="00B37FED" w:rsidRDefault="00B37FED">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There </w:t>
            </w:r>
            <w:r w:rsidR="00050F9D">
              <w:rPr>
                <w:rFonts w:ascii="Times New Roman" w:hAnsi="Times New Roman" w:cs="Times New Roman"/>
                <w:sz w:val="24"/>
                <w:szCs w:val="24"/>
              </w:rPr>
              <w:t xml:space="preserve">is </w:t>
            </w:r>
            <w:r w:rsidR="00A94F3B">
              <w:rPr>
                <w:rFonts w:ascii="Times New Roman" w:hAnsi="Times New Roman" w:cs="Times New Roman"/>
                <w:sz w:val="24"/>
                <w:szCs w:val="24"/>
              </w:rPr>
              <w:t xml:space="preserve">also </w:t>
            </w:r>
            <w:r w:rsidR="00050F9D">
              <w:rPr>
                <w:rFonts w:ascii="Times New Roman" w:hAnsi="Times New Roman" w:cs="Times New Roman"/>
                <w:sz w:val="24"/>
                <w:szCs w:val="24"/>
              </w:rPr>
              <w:t>a broader</w:t>
            </w:r>
            <w:r w:rsidR="00317C03">
              <w:rPr>
                <w:rFonts w:ascii="Times New Roman" w:hAnsi="Times New Roman" w:cs="Times New Roman"/>
                <w:sz w:val="24"/>
                <w:szCs w:val="24"/>
              </w:rPr>
              <w:t xml:space="preserve"> </w:t>
            </w:r>
            <w:r w:rsidR="004257B3">
              <w:rPr>
                <w:rFonts w:ascii="Times New Roman" w:hAnsi="Times New Roman" w:cs="Times New Roman"/>
                <w:sz w:val="24"/>
                <w:szCs w:val="24"/>
              </w:rPr>
              <w:t xml:space="preserve">definitional and methodological </w:t>
            </w:r>
            <w:r w:rsidR="00050F9D">
              <w:rPr>
                <w:rFonts w:ascii="Times New Roman" w:hAnsi="Times New Roman" w:cs="Times New Roman"/>
                <w:sz w:val="24"/>
                <w:szCs w:val="24"/>
              </w:rPr>
              <w:t xml:space="preserve">issue </w:t>
            </w:r>
            <w:r>
              <w:rPr>
                <w:rFonts w:ascii="Times New Roman" w:hAnsi="Times New Roman" w:cs="Times New Roman"/>
                <w:sz w:val="24"/>
                <w:szCs w:val="24"/>
              </w:rPr>
              <w:t>raised by</w:t>
            </w:r>
            <w:r w:rsidR="00317C03">
              <w:rPr>
                <w:rFonts w:ascii="Times New Roman" w:hAnsi="Times New Roman" w:cs="Times New Roman"/>
                <w:sz w:val="24"/>
                <w:szCs w:val="24"/>
              </w:rPr>
              <w:t xml:space="preserve"> this inquiry</w:t>
            </w:r>
            <w:r w:rsidR="00050F9D">
              <w:rPr>
                <w:rFonts w:ascii="Times New Roman" w:hAnsi="Times New Roman" w:cs="Times New Roman"/>
                <w:sz w:val="24"/>
                <w:szCs w:val="24"/>
              </w:rPr>
              <w:t xml:space="preserve">.  This study has been premised </w:t>
            </w:r>
            <w:r w:rsidR="002F0CC9">
              <w:rPr>
                <w:rFonts w:ascii="Times New Roman" w:hAnsi="Times New Roman" w:cs="Times New Roman"/>
                <w:sz w:val="24"/>
                <w:szCs w:val="24"/>
              </w:rPr>
              <w:t>on</w:t>
            </w:r>
            <w:r w:rsidR="00317C03">
              <w:rPr>
                <w:rFonts w:ascii="Times New Roman" w:hAnsi="Times New Roman" w:cs="Times New Roman"/>
                <w:sz w:val="24"/>
                <w:szCs w:val="24"/>
              </w:rPr>
              <w:t xml:space="preserve"> what has until recently been un</w:t>
            </w:r>
            <w:r w:rsidR="008A106B">
              <w:rPr>
                <w:rFonts w:ascii="Times New Roman" w:hAnsi="Times New Roman" w:cs="Times New Roman"/>
                <w:sz w:val="24"/>
                <w:szCs w:val="24"/>
              </w:rPr>
              <w:t>controversial</w:t>
            </w:r>
            <w:r w:rsidR="00317C03">
              <w:rPr>
                <w:rFonts w:ascii="Times New Roman" w:hAnsi="Times New Roman" w:cs="Times New Roman"/>
                <w:sz w:val="24"/>
                <w:szCs w:val="24"/>
              </w:rPr>
              <w:t xml:space="preserve">: </w:t>
            </w:r>
            <w:r>
              <w:rPr>
                <w:rFonts w:ascii="Times New Roman" w:hAnsi="Times New Roman" w:cs="Times New Roman"/>
                <w:sz w:val="24"/>
                <w:szCs w:val="24"/>
              </w:rPr>
              <w:t xml:space="preserve">potential or natural output is defined as the highest level of real output </w:t>
            </w:r>
            <w:r w:rsidR="00050F9D">
              <w:rPr>
                <w:rFonts w:ascii="Times New Roman" w:hAnsi="Times New Roman" w:cs="Times New Roman"/>
                <w:sz w:val="24"/>
                <w:szCs w:val="24"/>
              </w:rPr>
              <w:t xml:space="preserve">an </w:t>
            </w:r>
            <w:r>
              <w:rPr>
                <w:rFonts w:ascii="Times New Roman" w:hAnsi="Times New Roman" w:cs="Times New Roman"/>
                <w:sz w:val="24"/>
                <w:szCs w:val="24"/>
              </w:rPr>
              <w:t xml:space="preserve">economy can sustain without experiencing an acceleration of inflation.  An economy </w:t>
            </w:r>
            <w:r w:rsidR="00A94F3B">
              <w:rPr>
                <w:rFonts w:ascii="Times New Roman" w:hAnsi="Times New Roman" w:cs="Times New Roman"/>
                <w:sz w:val="24"/>
                <w:szCs w:val="24"/>
              </w:rPr>
              <w:t>has exceeded</w:t>
            </w:r>
            <w:r>
              <w:rPr>
                <w:rFonts w:ascii="Times New Roman" w:hAnsi="Times New Roman" w:cs="Times New Roman"/>
                <w:sz w:val="24"/>
                <w:szCs w:val="24"/>
              </w:rPr>
              <w:t xml:space="preserve"> potential</w:t>
            </w:r>
            <w:r w:rsidR="002F0CC9">
              <w:rPr>
                <w:rFonts w:ascii="Times New Roman" w:hAnsi="Times New Roman" w:cs="Times New Roman"/>
                <w:sz w:val="24"/>
                <w:szCs w:val="24"/>
              </w:rPr>
              <w:t xml:space="preserve"> </w:t>
            </w:r>
            <w:r w:rsidR="00050F9D">
              <w:rPr>
                <w:rFonts w:ascii="Times New Roman" w:hAnsi="Times New Roman" w:cs="Times New Roman"/>
                <w:sz w:val="24"/>
                <w:szCs w:val="24"/>
              </w:rPr>
              <w:t xml:space="preserve">when </w:t>
            </w:r>
            <w:r w:rsidR="00317C03">
              <w:rPr>
                <w:rFonts w:ascii="Times New Roman" w:hAnsi="Times New Roman" w:cs="Times New Roman"/>
                <w:sz w:val="24"/>
                <w:szCs w:val="24"/>
              </w:rPr>
              <w:t>inflation accelerates</w:t>
            </w:r>
            <w:r w:rsidR="008A106B">
              <w:rPr>
                <w:rFonts w:ascii="Times New Roman" w:hAnsi="Times New Roman" w:cs="Times New Roman"/>
                <w:sz w:val="24"/>
                <w:szCs w:val="24"/>
              </w:rPr>
              <w:t xml:space="preserve">, and </w:t>
            </w:r>
            <w:r>
              <w:rPr>
                <w:rFonts w:ascii="Times New Roman" w:hAnsi="Times New Roman" w:cs="Times New Roman"/>
                <w:sz w:val="24"/>
                <w:szCs w:val="24"/>
              </w:rPr>
              <w:t>t</w:t>
            </w:r>
            <w:r w:rsidR="008A106B">
              <w:rPr>
                <w:rFonts w:ascii="Times New Roman" w:hAnsi="Times New Roman" w:cs="Times New Roman"/>
                <w:sz w:val="24"/>
                <w:szCs w:val="24"/>
              </w:rPr>
              <w:t xml:space="preserve">he </w:t>
            </w:r>
            <w:r w:rsidR="002F0CC9">
              <w:rPr>
                <w:rFonts w:ascii="Times New Roman" w:hAnsi="Times New Roman" w:cs="Times New Roman"/>
                <w:sz w:val="24"/>
                <w:szCs w:val="24"/>
              </w:rPr>
              <w:t>absence</w:t>
            </w:r>
            <w:r w:rsidR="008A106B">
              <w:rPr>
                <w:rFonts w:ascii="Times New Roman" w:hAnsi="Times New Roman" w:cs="Times New Roman"/>
                <w:sz w:val="24"/>
                <w:szCs w:val="24"/>
              </w:rPr>
              <w:t xml:space="preserve"> of such acceleration </w:t>
            </w:r>
            <w:r>
              <w:rPr>
                <w:rFonts w:ascii="Times New Roman" w:hAnsi="Times New Roman" w:cs="Times New Roman"/>
                <w:sz w:val="24"/>
                <w:szCs w:val="24"/>
              </w:rPr>
              <w:t>indicates the presence of remaining</w:t>
            </w:r>
            <w:r w:rsidR="008A106B">
              <w:rPr>
                <w:rFonts w:ascii="Times New Roman" w:hAnsi="Times New Roman" w:cs="Times New Roman"/>
                <w:sz w:val="24"/>
                <w:szCs w:val="24"/>
              </w:rPr>
              <w:t xml:space="preserve"> </w:t>
            </w:r>
            <w:r w:rsidR="002F0CC9">
              <w:rPr>
                <w:rFonts w:ascii="Times New Roman" w:hAnsi="Times New Roman" w:cs="Times New Roman"/>
                <w:sz w:val="24"/>
                <w:szCs w:val="24"/>
              </w:rPr>
              <w:t xml:space="preserve">slack in </w:t>
            </w:r>
            <w:r w:rsidR="008A106B">
              <w:rPr>
                <w:rFonts w:ascii="Times New Roman" w:hAnsi="Times New Roman" w:cs="Times New Roman"/>
                <w:sz w:val="24"/>
                <w:szCs w:val="24"/>
              </w:rPr>
              <w:t>an</w:t>
            </w:r>
            <w:r w:rsidR="002F0CC9">
              <w:rPr>
                <w:rFonts w:ascii="Times New Roman" w:hAnsi="Times New Roman" w:cs="Times New Roman"/>
                <w:sz w:val="24"/>
                <w:szCs w:val="24"/>
              </w:rPr>
              <w:t xml:space="preserve"> economy. </w:t>
            </w:r>
            <w:r w:rsidR="001D6E27">
              <w:rPr>
                <w:rFonts w:ascii="Times New Roman" w:hAnsi="Times New Roman" w:cs="Times New Roman"/>
                <w:sz w:val="24"/>
                <w:szCs w:val="24"/>
              </w:rPr>
              <w:t xml:space="preserve"> </w:t>
            </w:r>
            <w:r w:rsidR="002F0CC9">
              <w:rPr>
                <w:rFonts w:ascii="Times New Roman" w:hAnsi="Times New Roman" w:cs="Times New Roman"/>
                <w:sz w:val="24"/>
                <w:szCs w:val="24"/>
              </w:rPr>
              <w:t xml:space="preserve"> </w:t>
            </w:r>
            <w:r w:rsidR="00B34DD1">
              <w:rPr>
                <w:rFonts w:ascii="Times New Roman" w:hAnsi="Times New Roman" w:cs="Times New Roman"/>
                <w:sz w:val="24"/>
                <w:szCs w:val="24"/>
              </w:rPr>
              <w:t>In other words, we may not know exactly where potential output is</w:t>
            </w:r>
            <w:r w:rsidR="00A94F3B">
              <w:rPr>
                <w:rFonts w:ascii="Times New Roman" w:hAnsi="Times New Roman" w:cs="Times New Roman"/>
                <w:sz w:val="24"/>
                <w:szCs w:val="24"/>
              </w:rPr>
              <w:t xml:space="preserve"> exactly</w:t>
            </w:r>
            <w:r w:rsidR="00B34DD1">
              <w:rPr>
                <w:rFonts w:ascii="Times New Roman" w:hAnsi="Times New Roman" w:cs="Times New Roman"/>
                <w:sz w:val="24"/>
                <w:szCs w:val="24"/>
              </w:rPr>
              <w:t xml:space="preserve">, but we will know if </w:t>
            </w:r>
            <w:r>
              <w:rPr>
                <w:rFonts w:ascii="Times New Roman" w:hAnsi="Times New Roman" w:cs="Times New Roman"/>
                <w:sz w:val="24"/>
                <w:szCs w:val="24"/>
              </w:rPr>
              <w:t xml:space="preserve">and when </w:t>
            </w:r>
            <w:r w:rsidR="00B34DD1">
              <w:rPr>
                <w:rFonts w:ascii="Times New Roman" w:hAnsi="Times New Roman" w:cs="Times New Roman"/>
                <w:sz w:val="24"/>
                <w:szCs w:val="24"/>
              </w:rPr>
              <w:t>we have exceeded it.</w:t>
            </w:r>
            <w:r w:rsidR="00A94F3B">
              <w:rPr>
                <w:rFonts w:ascii="Times New Roman" w:hAnsi="Times New Roman" w:cs="Times New Roman"/>
                <w:sz w:val="24"/>
                <w:szCs w:val="24"/>
              </w:rPr>
              <w:t xml:space="preserve">  </w:t>
            </w:r>
          </w:p>
          <w:p w14:paraId="76069D53" w14:textId="1640D424" w:rsidR="009B1D1B" w:rsidRDefault="002F0CC9">
            <w:pPr>
              <w:spacing w:line="480" w:lineRule="auto"/>
              <w:ind w:firstLine="576"/>
              <w:rPr>
                <w:rFonts w:ascii="Times New Roman" w:hAnsi="Times New Roman" w:cs="Times New Roman"/>
                <w:sz w:val="24"/>
                <w:szCs w:val="24"/>
              </w:rPr>
            </w:pPr>
            <w:r>
              <w:rPr>
                <w:rFonts w:ascii="Times New Roman" w:hAnsi="Times New Roman" w:cs="Times New Roman"/>
                <w:sz w:val="24"/>
                <w:szCs w:val="24"/>
              </w:rPr>
              <w:t>What is quite notable</w:t>
            </w:r>
            <w:r w:rsidR="008A106B">
              <w:rPr>
                <w:rFonts w:ascii="Times New Roman" w:hAnsi="Times New Roman" w:cs="Times New Roman"/>
                <w:sz w:val="24"/>
                <w:szCs w:val="24"/>
              </w:rPr>
              <w:t>, and in many ways disturbing</w:t>
            </w:r>
            <w:r w:rsidR="00317C03">
              <w:rPr>
                <w:rFonts w:ascii="Times New Roman" w:hAnsi="Times New Roman" w:cs="Times New Roman"/>
                <w:sz w:val="24"/>
                <w:szCs w:val="24"/>
              </w:rPr>
              <w:t>,</w:t>
            </w:r>
            <w:r>
              <w:rPr>
                <w:rFonts w:ascii="Times New Roman" w:hAnsi="Times New Roman" w:cs="Times New Roman"/>
                <w:sz w:val="24"/>
                <w:szCs w:val="24"/>
              </w:rPr>
              <w:t xml:space="preserve"> is that </w:t>
            </w:r>
            <w:r w:rsidR="008A106B">
              <w:rPr>
                <w:rFonts w:ascii="Times New Roman" w:hAnsi="Times New Roman" w:cs="Times New Roman"/>
                <w:sz w:val="24"/>
                <w:szCs w:val="24"/>
              </w:rPr>
              <w:t>Taylor’s</w:t>
            </w:r>
            <w:r>
              <w:rPr>
                <w:rFonts w:ascii="Times New Roman" w:hAnsi="Times New Roman" w:cs="Times New Roman"/>
                <w:sz w:val="24"/>
                <w:szCs w:val="24"/>
              </w:rPr>
              <w:t xml:space="preserve"> new emphasis on the possibility that low rates will fuel asset bubbles whose collapse will inflict great damage to th</w:t>
            </w:r>
            <w:r w:rsidR="00317C03">
              <w:rPr>
                <w:rFonts w:ascii="Times New Roman" w:hAnsi="Times New Roman" w:cs="Times New Roman"/>
                <w:sz w:val="24"/>
                <w:szCs w:val="24"/>
              </w:rPr>
              <w:t>e real economy in the future now</w:t>
            </w:r>
            <w:r>
              <w:rPr>
                <w:rFonts w:ascii="Times New Roman" w:hAnsi="Times New Roman" w:cs="Times New Roman"/>
                <w:sz w:val="24"/>
                <w:szCs w:val="24"/>
              </w:rPr>
              <w:t xml:space="preserve"> </w:t>
            </w:r>
            <w:r w:rsidR="009B1D1B">
              <w:rPr>
                <w:rFonts w:ascii="Times New Roman" w:hAnsi="Times New Roman" w:cs="Times New Roman"/>
                <w:sz w:val="24"/>
                <w:szCs w:val="24"/>
              </w:rPr>
              <w:t xml:space="preserve">often </w:t>
            </w:r>
            <w:r w:rsidR="00317C03">
              <w:rPr>
                <w:rFonts w:ascii="Times New Roman" w:hAnsi="Times New Roman" w:cs="Times New Roman"/>
                <w:sz w:val="24"/>
                <w:szCs w:val="24"/>
              </w:rPr>
              <w:t>goes</w:t>
            </w:r>
            <w:r>
              <w:rPr>
                <w:rFonts w:ascii="Times New Roman" w:hAnsi="Times New Roman" w:cs="Times New Roman"/>
                <w:sz w:val="24"/>
                <w:szCs w:val="24"/>
              </w:rPr>
              <w:t xml:space="preserve"> hand in hand with the claim that an economy can exceed potential </w:t>
            </w:r>
            <w:r>
              <w:rPr>
                <w:rFonts w:ascii="Times New Roman" w:hAnsi="Times New Roman" w:cs="Times New Roman"/>
                <w:i/>
                <w:sz w:val="24"/>
                <w:szCs w:val="24"/>
              </w:rPr>
              <w:t>even in the absence of accelerating inflation</w:t>
            </w:r>
            <w:r w:rsidR="007F7E5C">
              <w:rPr>
                <w:rFonts w:ascii="Times New Roman" w:hAnsi="Times New Roman" w:cs="Times New Roman"/>
                <w:i/>
                <w:sz w:val="24"/>
                <w:szCs w:val="24"/>
              </w:rPr>
              <w:t xml:space="preserve"> </w:t>
            </w:r>
            <w:r w:rsidR="007F7E5C">
              <w:rPr>
                <w:rFonts w:ascii="Times New Roman" w:hAnsi="Times New Roman" w:cs="Times New Roman"/>
                <w:sz w:val="24"/>
                <w:szCs w:val="24"/>
              </w:rPr>
              <w:t xml:space="preserve">(see the 2015 BIS </w:t>
            </w:r>
            <w:r w:rsidR="007F7E5C" w:rsidRPr="00F56339">
              <w:rPr>
                <w:rFonts w:ascii="Times New Roman" w:hAnsi="Times New Roman" w:cs="Times New Roman"/>
                <w:sz w:val="24"/>
                <w:szCs w:val="24"/>
                <w:u w:val="single"/>
              </w:rPr>
              <w:t>Annual Report</w:t>
            </w:r>
            <w:r w:rsidR="007F7E5C">
              <w:rPr>
                <w:rFonts w:ascii="Times New Roman" w:hAnsi="Times New Roman" w:cs="Times New Roman"/>
                <w:sz w:val="24"/>
                <w:szCs w:val="24"/>
              </w:rPr>
              <w:t>)</w:t>
            </w:r>
            <w:r w:rsidR="008A106B">
              <w:rPr>
                <w:rFonts w:ascii="Times New Roman" w:hAnsi="Times New Roman" w:cs="Times New Roman"/>
                <w:sz w:val="24"/>
                <w:szCs w:val="24"/>
              </w:rPr>
              <w:t xml:space="preserve">.  </w:t>
            </w:r>
            <w:r w:rsidR="009B1D1B">
              <w:rPr>
                <w:rFonts w:ascii="Times New Roman" w:hAnsi="Times New Roman" w:cs="Times New Roman"/>
                <w:sz w:val="24"/>
                <w:szCs w:val="24"/>
              </w:rPr>
              <w:t>Suppose an economy experiences a boom – let us say a private housing construction boom, as the result of a surge in the</w:t>
            </w:r>
            <w:r w:rsidR="00050F9D">
              <w:rPr>
                <w:rFonts w:ascii="Times New Roman" w:hAnsi="Times New Roman" w:cs="Times New Roman"/>
                <w:sz w:val="24"/>
                <w:szCs w:val="24"/>
              </w:rPr>
              <w:t xml:space="preserve"> extension of credit that</w:t>
            </w:r>
            <w:r w:rsidR="009B1D1B">
              <w:rPr>
                <w:rFonts w:ascii="Times New Roman" w:hAnsi="Times New Roman" w:cs="Times New Roman"/>
                <w:sz w:val="24"/>
                <w:szCs w:val="24"/>
              </w:rPr>
              <w:t xml:space="preserve"> proves unsustainable in the sense that borrowers are ultimately unable to pay back the</w:t>
            </w:r>
            <w:r w:rsidR="00A94F3B">
              <w:rPr>
                <w:rFonts w:ascii="Times New Roman" w:hAnsi="Times New Roman" w:cs="Times New Roman"/>
                <w:sz w:val="24"/>
                <w:szCs w:val="24"/>
              </w:rPr>
              <w:t>ir</w:t>
            </w:r>
            <w:r w:rsidR="009B1D1B">
              <w:rPr>
                <w:rFonts w:ascii="Times New Roman" w:hAnsi="Times New Roman" w:cs="Times New Roman"/>
                <w:sz w:val="24"/>
                <w:szCs w:val="24"/>
              </w:rPr>
              <w:t xml:space="preserve"> debt</w:t>
            </w:r>
            <w:r w:rsidR="00A94F3B">
              <w:rPr>
                <w:rFonts w:ascii="Times New Roman" w:hAnsi="Times New Roman" w:cs="Times New Roman"/>
                <w:sz w:val="24"/>
                <w:szCs w:val="24"/>
              </w:rPr>
              <w:t>s</w:t>
            </w:r>
            <w:r w:rsidR="009B1D1B">
              <w:rPr>
                <w:rFonts w:ascii="Times New Roman" w:hAnsi="Times New Roman" w:cs="Times New Roman"/>
                <w:sz w:val="24"/>
                <w:szCs w:val="24"/>
              </w:rPr>
              <w:t xml:space="preserve"> in the absence of continued </w:t>
            </w:r>
            <w:r w:rsidR="009B1D1B">
              <w:rPr>
                <w:rFonts w:ascii="Times New Roman" w:hAnsi="Times New Roman" w:cs="Times New Roman"/>
                <w:sz w:val="24"/>
                <w:szCs w:val="24"/>
              </w:rPr>
              <w:lastRenderedPageBreak/>
              <w:t xml:space="preserve">acceleration in property values.  </w:t>
            </w:r>
            <w:r w:rsidR="00050F9D">
              <w:rPr>
                <w:rFonts w:ascii="Times New Roman" w:hAnsi="Times New Roman" w:cs="Times New Roman"/>
                <w:sz w:val="24"/>
                <w:szCs w:val="24"/>
              </w:rPr>
              <w:t>During the boom the</w:t>
            </w:r>
            <w:r w:rsidR="009B1D1B">
              <w:rPr>
                <w:rFonts w:ascii="Times New Roman" w:hAnsi="Times New Roman" w:cs="Times New Roman"/>
                <w:sz w:val="24"/>
                <w:szCs w:val="24"/>
              </w:rPr>
              <w:t xml:space="preserve"> economy experiences high employment and little </w:t>
            </w:r>
            <w:r w:rsidR="00A94F3B">
              <w:rPr>
                <w:rFonts w:ascii="Times New Roman" w:hAnsi="Times New Roman" w:cs="Times New Roman"/>
                <w:sz w:val="24"/>
                <w:szCs w:val="24"/>
              </w:rPr>
              <w:t xml:space="preserve">or no </w:t>
            </w:r>
            <w:r w:rsidR="009B1D1B">
              <w:rPr>
                <w:rFonts w:ascii="Times New Roman" w:hAnsi="Times New Roman" w:cs="Times New Roman"/>
                <w:sz w:val="24"/>
                <w:szCs w:val="24"/>
              </w:rPr>
              <w:t>acceleration in inflation</w:t>
            </w:r>
            <w:r w:rsidR="00050F9D">
              <w:rPr>
                <w:rFonts w:ascii="Times New Roman" w:hAnsi="Times New Roman" w:cs="Times New Roman"/>
                <w:sz w:val="24"/>
                <w:szCs w:val="24"/>
              </w:rPr>
              <w:t>, or even very mild deflation (as at the end of the 1920s)</w:t>
            </w:r>
            <w:r w:rsidR="009B1D1B">
              <w:rPr>
                <w:rFonts w:ascii="Times New Roman" w:hAnsi="Times New Roman" w:cs="Times New Roman"/>
                <w:sz w:val="24"/>
                <w:szCs w:val="24"/>
              </w:rPr>
              <w:t>.  A financial crisis ensues followed by an economic recession and slow recovery.  Do we</w:t>
            </w:r>
            <w:r w:rsidR="00317C03">
              <w:rPr>
                <w:rFonts w:ascii="Times New Roman" w:hAnsi="Times New Roman" w:cs="Times New Roman"/>
                <w:sz w:val="24"/>
                <w:szCs w:val="24"/>
              </w:rPr>
              <w:t xml:space="preserve"> </w:t>
            </w:r>
            <w:r w:rsidR="00B37FED">
              <w:rPr>
                <w:rFonts w:ascii="Times New Roman" w:hAnsi="Times New Roman" w:cs="Times New Roman"/>
                <w:sz w:val="24"/>
                <w:szCs w:val="24"/>
              </w:rPr>
              <w:t>conclude, as the dust sett</w:t>
            </w:r>
            <w:r w:rsidR="00317C03">
              <w:rPr>
                <w:rFonts w:ascii="Times New Roman" w:hAnsi="Times New Roman" w:cs="Times New Roman"/>
                <w:sz w:val="24"/>
                <w:szCs w:val="24"/>
              </w:rPr>
              <w:t xml:space="preserve">les, </w:t>
            </w:r>
            <w:r w:rsidR="009B1D1B">
              <w:rPr>
                <w:rFonts w:ascii="Times New Roman" w:hAnsi="Times New Roman" w:cs="Times New Roman"/>
                <w:sz w:val="24"/>
                <w:szCs w:val="24"/>
              </w:rPr>
              <w:t xml:space="preserve">that the </w:t>
            </w:r>
            <w:r w:rsidR="00B37FED">
              <w:rPr>
                <w:rFonts w:ascii="Times New Roman" w:hAnsi="Times New Roman" w:cs="Times New Roman"/>
                <w:sz w:val="24"/>
                <w:szCs w:val="24"/>
              </w:rPr>
              <w:t xml:space="preserve">economy had been above potential prior to the crash, in other words that the </w:t>
            </w:r>
            <w:r w:rsidR="009B1D1B">
              <w:rPr>
                <w:rFonts w:ascii="Times New Roman" w:hAnsi="Times New Roman" w:cs="Times New Roman"/>
                <w:sz w:val="24"/>
                <w:szCs w:val="24"/>
              </w:rPr>
              <w:t xml:space="preserve">pre-crash output level was unsustainable </w:t>
            </w:r>
            <w:r w:rsidR="00D25232">
              <w:rPr>
                <w:rFonts w:ascii="Times New Roman" w:hAnsi="Times New Roman" w:cs="Times New Roman"/>
                <w:sz w:val="24"/>
                <w:szCs w:val="24"/>
              </w:rPr>
              <w:t>–</w:t>
            </w:r>
            <w:r w:rsidR="007F7E5C">
              <w:rPr>
                <w:rFonts w:ascii="Times New Roman" w:hAnsi="Times New Roman" w:cs="Times New Roman"/>
                <w:sz w:val="24"/>
                <w:szCs w:val="24"/>
              </w:rPr>
              <w:t xml:space="preserve"> </w:t>
            </w:r>
            <w:r w:rsidR="00D25232">
              <w:rPr>
                <w:rFonts w:ascii="Times New Roman" w:hAnsi="Times New Roman" w:cs="Times New Roman"/>
                <w:sz w:val="24"/>
                <w:szCs w:val="24"/>
              </w:rPr>
              <w:t xml:space="preserve">simply because it </w:t>
            </w:r>
            <w:r w:rsidR="00B37FED">
              <w:rPr>
                <w:rFonts w:ascii="Times New Roman" w:hAnsi="Times New Roman" w:cs="Times New Roman"/>
                <w:sz w:val="24"/>
                <w:szCs w:val="24"/>
              </w:rPr>
              <w:t>was not sustained</w:t>
            </w:r>
            <w:r w:rsidR="009B1D1B">
              <w:rPr>
                <w:rFonts w:ascii="Times New Roman" w:hAnsi="Times New Roman" w:cs="Times New Roman"/>
                <w:sz w:val="24"/>
                <w:szCs w:val="24"/>
              </w:rPr>
              <w:t xml:space="preserve">?  An alternate interpretation </w:t>
            </w:r>
            <w:r w:rsidR="00317C03">
              <w:rPr>
                <w:rFonts w:ascii="Times New Roman" w:hAnsi="Times New Roman" w:cs="Times New Roman"/>
                <w:sz w:val="24"/>
                <w:szCs w:val="24"/>
              </w:rPr>
              <w:t xml:space="preserve">might be </w:t>
            </w:r>
            <w:r w:rsidR="00050F9D">
              <w:rPr>
                <w:rFonts w:ascii="Times New Roman" w:hAnsi="Times New Roman" w:cs="Times New Roman"/>
                <w:sz w:val="24"/>
                <w:szCs w:val="24"/>
              </w:rPr>
              <w:t xml:space="preserve">that </w:t>
            </w:r>
            <w:r w:rsidR="00B37FED">
              <w:rPr>
                <w:rFonts w:ascii="Times New Roman" w:hAnsi="Times New Roman" w:cs="Times New Roman"/>
                <w:sz w:val="24"/>
                <w:szCs w:val="24"/>
              </w:rPr>
              <w:t xml:space="preserve">it was </w:t>
            </w:r>
            <w:r w:rsidR="00050F9D">
              <w:rPr>
                <w:rFonts w:ascii="Times New Roman" w:hAnsi="Times New Roman" w:cs="Times New Roman"/>
                <w:sz w:val="24"/>
                <w:szCs w:val="24"/>
              </w:rPr>
              <w:t xml:space="preserve">the financial structure (in particular </w:t>
            </w:r>
            <w:r w:rsidR="00B37FED">
              <w:rPr>
                <w:rFonts w:ascii="Times New Roman" w:hAnsi="Times New Roman" w:cs="Times New Roman"/>
                <w:sz w:val="24"/>
                <w:szCs w:val="24"/>
              </w:rPr>
              <w:t xml:space="preserve">the </w:t>
            </w:r>
            <w:r w:rsidR="00050F9D">
              <w:rPr>
                <w:rFonts w:ascii="Times New Roman" w:hAnsi="Times New Roman" w:cs="Times New Roman"/>
                <w:sz w:val="24"/>
                <w:szCs w:val="24"/>
              </w:rPr>
              <w:t>leverage and debt</w:t>
            </w:r>
            <w:r w:rsidR="00317C03">
              <w:rPr>
                <w:rFonts w:ascii="Times New Roman" w:hAnsi="Times New Roman" w:cs="Times New Roman"/>
                <w:sz w:val="24"/>
                <w:szCs w:val="24"/>
              </w:rPr>
              <w:t xml:space="preserve"> service to </w:t>
            </w:r>
            <w:r w:rsidR="00050F9D">
              <w:rPr>
                <w:rFonts w:ascii="Times New Roman" w:hAnsi="Times New Roman" w:cs="Times New Roman"/>
                <w:sz w:val="24"/>
                <w:szCs w:val="24"/>
              </w:rPr>
              <w:t>income ratios)</w:t>
            </w:r>
            <w:r w:rsidR="009B1D1B">
              <w:rPr>
                <w:rFonts w:ascii="Times New Roman" w:hAnsi="Times New Roman" w:cs="Times New Roman"/>
                <w:sz w:val="24"/>
                <w:szCs w:val="24"/>
              </w:rPr>
              <w:t xml:space="preserve"> that </w:t>
            </w:r>
            <w:r w:rsidR="00317C03">
              <w:rPr>
                <w:rFonts w:ascii="Times New Roman" w:hAnsi="Times New Roman" w:cs="Times New Roman"/>
                <w:sz w:val="24"/>
                <w:szCs w:val="24"/>
              </w:rPr>
              <w:t>underpinned</w:t>
            </w:r>
            <w:r w:rsidR="009B1D1B">
              <w:rPr>
                <w:rFonts w:ascii="Times New Roman" w:hAnsi="Times New Roman" w:cs="Times New Roman"/>
                <w:sz w:val="24"/>
                <w:szCs w:val="24"/>
              </w:rPr>
              <w:t xml:space="preserve"> the </w:t>
            </w:r>
            <w:r w:rsidR="00B37FED">
              <w:rPr>
                <w:rFonts w:ascii="Times New Roman" w:hAnsi="Times New Roman" w:cs="Times New Roman"/>
                <w:sz w:val="24"/>
                <w:szCs w:val="24"/>
              </w:rPr>
              <w:t>high level of aggregate demand that</w:t>
            </w:r>
            <w:r w:rsidR="009B1D1B">
              <w:rPr>
                <w:rFonts w:ascii="Times New Roman" w:hAnsi="Times New Roman" w:cs="Times New Roman"/>
                <w:sz w:val="24"/>
                <w:szCs w:val="24"/>
              </w:rPr>
              <w:t xml:space="preserve"> was unsustainable, and that if this is what the private sector must do to bring us close to potential, then the answer is not to define potential down </w:t>
            </w:r>
            <w:r w:rsidR="00050F9D">
              <w:rPr>
                <w:rFonts w:ascii="Times New Roman" w:hAnsi="Times New Roman" w:cs="Times New Roman"/>
                <w:sz w:val="24"/>
                <w:szCs w:val="24"/>
              </w:rPr>
              <w:t>after the fact</w:t>
            </w:r>
            <w:r w:rsidR="00050F9D">
              <w:rPr>
                <w:rStyle w:val="FootnoteReference"/>
                <w:rFonts w:ascii="Times New Roman" w:hAnsi="Times New Roman" w:cs="Times New Roman"/>
                <w:sz w:val="24"/>
                <w:szCs w:val="24"/>
              </w:rPr>
              <w:footnoteReference w:id="26"/>
            </w:r>
            <w:r w:rsidR="00050F9D">
              <w:rPr>
                <w:rFonts w:ascii="Times New Roman" w:hAnsi="Times New Roman" w:cs="Times New Roman"/>
                <w:sz w:val="24"/>
                <w:szCs w:val="24"/>
              </w:rPr>
              <w:t xml:space="preserve"> </w:t>
            </w:r>
            <w:r w:rsidR="009B1D1B">
              <w:rPr>
                <w:rFonts w:ascii="Times New Roman" w:hAnsi="Times New Roman" w:cs="Times New Roman"/>
                <w:sz w:val="24"/>
                <w:szCs w:val="24"/>
              </w:rPr>
              <w:t xml:space="preserve">but to replace </w:t>
            </w:r>
            <w:r w:rsidR="007F7E5C">
              <w:rPr>
                <w:rFonts w:ascii="Times New Roman" w:hAnsi="Times New Roman" w:cs="Times New Roman"/>
                <w:sz w:val="24"/>
                <w:szCs w:val="24"/>
              </w:rPr>
              <w:t xml:space="preserve">some of </w:t>
            </w:r>
            <w:r w:rsidR="009B1D1B">
              <w:rPr>
                <w:rFonts w:ascii="Times New Roman" w:hAnsi="Times New Roman" w:cs="Times New Roman"/>
                <w:sz w:val="24"/>
                <w:szCs w:val="24"/>
              </w:rPr>
              <w:t>the private sector funding mechanism with government spending, ideally</w:t>
            </w:r>
            <w:r w:rsidR="00050F9D">
              <w:rPr>
                <w:rFonts w:ascii="Times New Roman" w:hAnsi="Times New Roman" w:cs="Times New Roman"/>
                <w:sz w:val="24"/>
                <w:szCs w:val="24"/>
              </w:rPr>
              <w:t xml:space="preserve"> on well-</w:t>
            </w:r>
            <w:r w:rsidR="009B1D1B">
              <w:rPr>
                <w:rFonts w:ascii="Times New Roman" w:hAnsi="Times New Roman" w:cs="Times New Roman"/>
                <w:sz w:val="24"/>
                <w:szCs w:val="24"/>
              </w:rPr>
              <w:t>chosen infrastructure</w:t>
            </w:r>
            <w:r w:rsidR="0060728B">
              <w:rPr>
                <w:rFonts w:ascii="Times New Roman" w:hAnsi="Times New Roman" w:cs="Times New Roman"/>
                <w:sz w:val="24"/>
                <w:szCs w:val="24"/>
              </w:rPr>
              <w:t xml:space="preserve">.  </w:t>
            </w:r>
            <w:r w:rsidR="00A94F3B">
              <w:rPr>
                <w:rFonts w:ascii="Times New Roman" w:hAnsi="Times New Roman" w:cs="Times New Roman"/>
                <w:sz w:val="24"/>
                <w:szCs w:val="24"/>
              </w:rPr>
              <w:t>P</w:t>
            </w:r>
            <w:r w:rsidR="00B37FED">
              <w:rPr>
                <w:rFonts w:ascii="Times New Roman" w:hAnsi="Times New Roman" w:cs="Times New Roman"/>
                <w:sz w:val="24"/>
                <w:szCs w:val="24"/>
              </w:rPr>
              <w:t xml:space="preserve">rogress </w:t>
            </w:r>
            <w:r w:rsidR="00A94F3B">
              <w:rPr>
                <w:rFonts w:ascii="Times New Roman" w:hAnsi="Times New Roman" w:cs="Times New Roman"/>
                <w:sz w:val="24"/>
                <w:szCs w:val="24"/>
              </w:rPr>
              <w:t>in understanding</w:t>
            </w:r>
            <w:r w:rsidR="00B37FED">
              <w:rPr>
                <w:rFonts w:ascii="Times New Roman" w:hAnsi="Times New Roman" w:cs="Times New Roman"/>
                <w:sz w:val="24"/>
                <w:szCs w:val="24"/>
              </w:rPr>
              <w:t xml:space="preserve"> the macroeconomics of the </w:t>
            </w:r>
            <w:r w:rsidR="009B1D1B">
              <w:rPr>
                <w:rFonts w:ascii="Times New Roman" w:hAnsi="Times New Roman" w:cs="Times New Roman"/>
                <w:sz w:val="24"/>
                <w:szCs w:val="24"/>
              </w:rPr>
              <w:t>1920s and the 2000s</w:t>
            </w:r>
            <w:r w:rsidR="0060728B">
              <w:rPr>
                <w:rFonts w:ascii="Times New Roman" w:hAnsi="Times New Roman" w:cs="Times New Roman"/>
                <w:sz w:val="24"/>
                <w:szCs w:val="24"/>
              </w:rPr>
              <w:t xml:space="preserve">, </w:t>
            </w:r>
            <w:r w:rsidR="00B37FED">
              <w:rPr>
                <w:rFonts w:ascii="Times New Roman" w:hAnsi="Times New Roman" w:cs="Times New Roman"/>
                <w:sz w:val="24"/>
                <w:szCs w:val="24"/>
              </w:rPr>
              <w:t xml:space="preserve">will require that we continue to have a shared understanding of what </w:t>
            </w:r>
            <w:r w:rsidR="00A94F3B">
              <w:rPr>
                <w:rFonts w:ascii="Times New Roman" w:hAnsi="Times New Roman" w:cs="Times New Roman"/>
                <w:sz w:val="24"/>
                <w:szCs w:val="24"/>
              </w:rPr>
              <w:t>is meant</w:t>
            </w:r>
            <w:r w:rsidR="0060728B">
              <w:rPr>
                <w:rFonts w:ascii="Times New Roman" w:hAnsi="Times New Roman" w:cs="Times New Roman"/>
                <w:sz w:val="24"/>
                <w:szCs w:val="24"/>
              </w:rPr>
              <w:t xml:space="preserve"> by potential </w:t>
            </w:r>
            <w:r w:rsidR="00B37FED">
              <w:rPr>
                <w:rFonts w:ascii="Times New Roman" w:hAnsi="Times New Roman" w:cs="Times New Roman"/>
                <w:sz w:val="24"/>
                <w:szCs w:val="24"/>
              </w:rPr>
              <w:t>and how we identify conditions under which it has been exceeded.</w:t>
            </w:r>
          </w:p>
          <w:p w14:paraId="6E315A6A" w14:textId="768F0E13" w:rsidR="002F0CC9" w:rsidRDefault="008A106B">
            <w:pPr>
              <w:spacing w:line="480" w:lineRule="auto"/>
              <w:ind w:firstLine="576"/>
              <w:rPr>
                <w:rFonts w:ascii="Times New Roman" w:hAnsi="Times New Roman" w:cs="Times New Roman"/>
                <w:sz w:val="24"/>
                <w:szCs w:val="24"/>
              </w:rPr>
            </w:pPr>
            <w:r>
              <w:rPr>
                <w:rFonts w:ascii="Times New Roman" w:hAnsi="Times New Roman" w:cs="Times New Roman"/>
                <w:sz w:val="24"/>
                <w:szCs w:val="24"/>
              </w:rPr>
              <w:t xml:space="preserve">Without </w:t>
            </w:r>
            <w:r w:rsidR="002F0CC9">
              <w:rPr>
                <w:rFonts w:ascii="Times New Roman" w:hAnsi="Times New Roman" w:cs="Times New Roman"/>
                <w:sz w:val="24"/>
                <w:szCs w:val="24"/>
              </w:rPr>
              <w:t xml:space="preserve">trying to minimize the concern that we </w:t>
            </w:r>
            <w:r>
              <w:rPr>
                <w:rFonts w:ascii="Times New Roman" w:hAnsi="Times New Roman" w:cs="Times New Roman"/>
                <w:sz w:val="24"/>
                <w:szCs w:val="24"/>
              </w:rPr>
              <w:t xml:space="preserve">may now </w:t>
            </w:r>
            <w:r w:rsidR="009B1D1B">
              <w:rPr>
                <w:rFonts w:ascii="Times New Roman" w:hAnsi="Times New Roman" w:cs="Times New Roman"/>
                <w:sz w:val="24"/>
                <w:szCs w:val="24"/>
              </w:rPr>
              <w:t xml:space="preserve">be </w:t>
            </w:r>
            <w:r w:rsidR="002F0CC9">
              <w:rPr>
                <w:rFonts w:ascii="Times New Roman" w:hAnsi="Times New Roman" w:cs="Times New Roman"/>
                <w:sz w:val="24"/>
                <w:szCs w:val="24"/>
              </w:rPr>
              <w:t>establishing the groundwork for an even more catastrophic global financial cr</w:t>
            </w:r>
            <w:r>
              <w:rPr>
                <w:rFonts w:ascii="Times New Roman" w:hAnsi="Times New Roman" w:cs="Times New Roman"/>
                <w:sz w:val="24"/>
                <w:szCs w:val="24"/>
              </w:rPr>
              <w:t xml:space="preserve">isis, the logic and </w:t>
            </w:r>
            <w:r w:rsidR="009B1D1B">
              <w:rPr>
                <w:rFonts w:ascii="Times New Roman" w:hAnsi="Times New Roman" w:cs="Times New Roman"/>
                <w:sz w:val="24"/>
                <w:szCs w:val="24"/>
              </w:rPr>
              <w:t>merits of the</w:t>
            </w:r>
            <w:r>
              <w:rPr>
                <w:rFonts w:ascii="Times New Roman" w:hAnsi="Times New Roman" w:cs="Times New Roman"/>
                <w:sz w:val="24"/>
                <w:szCs w:val="24"/>
              </w:rPr>
              <w:t xml:space="preserve"> argument </w:t>
            </w:r>
            <w:r w:rsidR="009B1D1B">
              <w:rPr>
                <w:rFonts w:ascii="Times New Roman" w:hAnsi="Times New Roman" w:cs="Times New Roman"/>
                <w:sz w:val="24"/>
                <w:szCs w:val="24"/>
              </w:rPr>
              <w:t xml:space="preserve">that we were above potential pre-crash </w:t>
            </w:r>
            <w:r w:rsidR="00B37FED">
              <w:rPr>
                <w:rFonts w:ascii="Times New Roman" w:hAnsi="Times New Roman" w:cs="Times New Roman"/>
                <w:sz w:val="24"/>
                <w:szCs w:val="24"/>
              </w:rPr>
              <w:t xml:space="preserve">(as advanced by James Bullard for example) </w:t>
            </w:r>
            <w:r w:rsidR="00A94F3B">
              <w:rPr>
                <w:rFonts w:ascii="Times New Roman" w:hAnsi="Times New Roman" w:cs="Times New Roman"/>
                <w:sz w:val="24"/>
                <w:szCs w:val="24"/>
              </w:rPr>
              <w:t>have to be seriously addressed</w:t>
            </w:r>
            <w:r w:rsidR="00B37FED">
              <w:rPr>
                <w:rFonts w:ascii="Times New Roman" w:hAnsi="Times New Roman" w:cs="Times New Roman"/>
                <w:sz w:val="24"/>
                <w:szCs w:val="24"/>
              </w:rPr>
              <w:t xml:space="preserve">. </w:t>
            </w:r>
            <w:r w:rsidR="00F13286">
              <w:rPr>
                <w:rFonts w:ascii="Times New Roman" w:hAnsi="Times New Roman" w:cs="Times New Roman"/>
                <w:sz w:val="24"/>
                <w:szCs w:val="24"/>
              </w:rPr>
              <w:t xml:space="preserve">Absent </w:t>
            </w:r>
            <w:r w:rsidR="007F7E5C">
              <w:rPr>
                <w:rFonts w:ascii="Times New Roman" w:hAnsi="Times New Roman" w:cs="Times New Roman"/>
                <w:sz w:val="24"/>
                <w:szCs w:val="24"/>
              </w:rPr>
              <w:t>agreement</w:t>
            </w:r>
            <w:r w:rsidR="00B37FED">
              <w:rPr>
                <w:rFonts w:ascii="Times New Roman" w:hAnsi="Times New Roman" w:cs="Times New Roman"/>
                <w:sz w:val="24"/>
                <w:szCs w:val="24"/>
              </w:rPr>
              <w:t xml:space="preserve"> that necessary evidence that </w:t>
            </w:r>
            <w:r w:rsidR="009B1D1B">
              <w:rPr>
                <w:rFonts w:ascii="Times New Roman" w:hAnsi="Times New Roman" w:cs="Times New Roman"/>
                <w:sz w:val="24"/>
                <w:szCs w:val="24"/>
              </w:rPr>
              <w:t xml:space="preserve">an economy </w:t>
            </w:r>
            <w:r w:rsidR="00B37FED">
              <w:rPr>
                <w:rFonts w:ascii="Times New Roman" w:hAnsi="Times New Roman" w:cs="Times New Roman"/>
                <w:sz w:val="24"/>
                <w:szCs w:val="24"/>
              </w:rPr>
              <w:t>is</w:t>
            </w:r>
            <w:r w:rsidR="009B1D1B">
              <w:rPr>
                <w:rFonts w:ascii="Times New Roman" w:hAnsi="Times New Roman" w:cs="Times New Roman"/>
                <w:sz w:val="24"/>
                <w:szCs w:val="24"/>
              </w:rPr>
              <w:t xml:space="preserve"> above potential is acceleration of inflation, it is </w:t>
            </w:r>
            <w:r w:rsidR="00B86168">
              <w:rPr>
                <w:rFonts w:ascii="Times New Roman" w:hAnsi="Times New Roman" w:cs="Times New Roman"/>
                <w:sz w:val="24"/>
                <w:szCs w:val="24"/>
              </w:rPr>
              <w:t>difficult</w:t>
            </w:r>
            <w:r w:rsidR="009B1D1B">
              <w:rPr>
                <w:rFonts w:ascii="Times New Roman" w:hAnsi="Times New Roman" w:cs="Times New Roman"/>
                <w:sz w:val="24"/>
                <w:szCs w:val="24"/>
              </w:rPr>
              <w:t xml:space="preserve"> to calculate meaningful output gaps, either contemporaneously or after the fact. </w:t>
            </w:r>
            <w:r w:rsidR="002F0CC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B1D1B">
              <w:rPr>
                <w:rFonts w:ascii="Times New Roman" w:hAnsi="Times New Roman" w:cs="Times New Roman"/>
                <w:sz w:val="24"/>
                <w:szCs w:val="24"/>
              </w:rPr>
              <w:t xml:space="preserve">questioning of this principle </w:t>
            </w:r>
            <w:r>
              <w:rPr>
                <w:rFonts w:ascii="Times New Roman" w:hAnsi="Times New Roman" w:cs="Times New Roman"/>
                <w:sz w:val="24"/>
                <w:szCs w:val="24"/>
              </w:rPr>
              <w:t>l</w:t>
            </w:r>
            <w:r w:rsidR="002F0CC9">
              <w:rPr>
                <w:rFonts w:ascii="Times New Roman" w:hAnsi="Times New Roman" w:cs="Times New Roman"/>
                <w:sz w:val="24"/>
                <w:szCs w:val="24"/>
              </w:rPr>
              <w:t>ies at the heart of the clamor, particularly well</w:t>
            </w:r>
            <w:r w:rsidR="009B1D1B">
              <w:rPr>
                <w:rFonts w:ascii="Times New Roman" w:hAnsi="Times New Roman" w:cs="Times New Roman"/>
                <w:sz w:val="24"/>
                <w:szCs w:val="24"/>
              </w:rPr>
              <w:t>-</w:t>
            </w:r>
            <w:r w:rsidR="002F0CC9">
              <w:rPr>
                <w:rFonts w:ascii="Times New Roman" w:hAnsi="Times New Roman" w:cs="Times New Roman"/>
                <w:sz w:val="24"/>
                <w:szCs w:val="24"/>
              </w:rPr>
              <w:t xml:space="preserve">articulated in the 2015 BIS report, that interest rates must be raised even in the absence of accelerating inflation and in the presence of what appear, by </w:t>
            </w:r>
            <w:r w:rsidR="002F0CC9">
              <w:rPr>
                <w:rFonts w:ascii="Times New Roman" w:hAnsi="Times New Roman" w:cs="Times New Roman"/>
                <w:sz w:val="24"/>
                <w:szCs w:val="24"/>
              </w:rPr>
              <w:lastRenderedPageBreak/>
              <w:t>standard measures, to be continuing output gaps</w:t>
            </w:r>
            <w:r w:rsidR="00A94F3B">
              <w:rPr>
                <w:rFonts w:ascii="Times New Roman" w:hAnsi="Times New Roman" w:cs="Times New Roman"/>
                <w:sz w:val="24"/>
                <w:szCs w:val="24"/>
              </w:rPr>
              <w:t xml:space="preserve">. As the report asserts, </w:t>
            </w:r>
            <w:r w:rsidR="00DF0A0C">
              <w:rPr>
                <w:rFonts w:ascii="Times New Roman" w:hAnsi="Times New Roman" w:cs="Times New Roman"/>
                <w:sz w:val="24"/>
                <w:szCs w:val="24"/>
              </w:rPr>
              <w:t>“</w:t>
            </w:r>
            <w:r w:rsidR="00DF0A0C" w:rsidRPr="00DF0A0C">
              <w:rPr>
                <w:rFonts w:ascii="Times New Roman" w:hAnsi="Times New Roman" w:cs="Times New Roman"/>
                <w:sz w:val="24"/>
                <w:szCs w:val="24"/>
              </w:rPr>
              <w:t>ahead of the financial crisis, the methodologies widely used in policymaking generally failed to detect that output w</w:t>
            </w:r>
            <w:r w:rsidR="00DF0A0C">
              <w:rPr>
                <w:rFonts w:ascii="Times New Roman" w:hAnsi="Times New Roman" w:cs="Times New Roman"/>
                <w:sz w:val="24"/>
                <w:szCs w:val="24"/>
              </w:rPr>
              <w:t>as above its sustainable level</w:t>
            </w:r>
            <w:r w:rsidR="009B1D1B">
              <w:rPr>
                <w:rFonts w:ascii="Times New Roman" w:hAnsi="Times New Roman" w:cs="Times New Roman"/>
                <w:sz w:val="24"/>
                <w:szCs w:val="24"/>
              </w:rPr>
              <w:t xml:space="preserve">” (2015, p. 77).  </w:t>
            </w:r>
            <w:r>
              <w:rPr>
                <w:rFonts w:ascii="Times New Roman" w:hAnsi="Times New Roman" w:cs="Times New Roman"/>
                <w:sz w:val="24"/>
                <w:szCs w:val="24"/>
              </w:rPr>
              <w:t xml:space="preserve">Does Taylor endorse the </w:t>
            </w:r>
            <w:r w:rsidR="009B1D1B">
              <w:rPr>
                <w:rFonts w:ascii="Times New Roman" w:hAnsi="Times New Roman" w:cs="Times New Roman"/>
                <w:sz w:val="24"/>
                <w:szCs w:val="24"/>
              </w:rPr>
              <w:t>opprobrium</w:t>
            </w:r>
            <w:r>
              <w:rPr>
                <w:rFonts w:ascii="Times New Roman" w:hAnsi="Times New Roman" w:cs="Times New Roman"/>
                <w:sz w:val="24"/>
                <w:szCs w:val="24"/>
              </w:rPr>
              <w:t xml:space="preserve"> </w:t>
            </w:r>
            <w:r w:rsidR="009B1D1B">
              <w:rPr>
                <w:rFonts w:ascii="Times New Roman" w:hAnsi="Times New Roman" w:cs="Times New Roman"/>
                <w:sz w:val="24"/>
                <w:szCs w:val="24"/>
              </w:rPr>
              <w:t xml:space="preserve">now </w:t>
            </w:r>
            <w:r>
              <w:rPr>
                <w:rFonts w:ascii="Times New Roman" w:hAnsi="Times New Roman" w:cs="Times New Roman"/>
                <w:sz w:val="24"/>
                <w:szCs w:val="24"/>
              </w:rPr>
              <w:t xml:space="preserve">heaped on </w:t>
            </w:r>
            <w:r w:rsidR="009B1D1B">
              <w:rPr>
                <w:rFonts w:ascii="Times New Roman" w:hAnsi="Times New Roman" w:cs="Times New Roman"/>
                <w:sz w:val="24"/>
                <w:szCs w:val="24"/>
              </w:rPr>
              <w:t xml:space="preserve">his rule’s </w:t>
            </w:r>
            <w:r>
              <w:rPr>
                <w:rFonts w:ascii="Times New Roman" w:hAnsi="Times New Roman" w:cs="Times New Roman"/>
                <w:sz w:val="24"/>
                <w:szCs w:val="24"/>
              </w:rPr>
              <w:t xml:space="preserve">original policy objectives:  </w:t>
            </w:r>
            <w:r w:rsidRPr="00A50FD4">
              <w:rPr>
                <w:rFonts w:ascii="Times New Roman" w:hAnsi="Times New Roman" w:cs="Times New Roman"/>
                <w:sz w:val="24"/>
                <w:szCs w:val="24"/>
              </w:rPr>
              <w:t>preventing an acceleration of inflation and</w:t>
            </w:r>
            <w:r w:rsidR="009B1D1B">
              <w:rPr>
                <w:rFonts w:ascii="Times New Roman" w:hAnsi="Times New Roman" w:cs="Times New Roman"/>
                <w:sz w:val="24"/>
                <w:szCs w:val="24"/>
              </w:rPr>
              <w:t xml:space="preserve"> closing output gaps – </w:t>
            </w:r>
            <w:r w:rsidRPr="00A50FD4">
              <w:rPr>
                <w:rFonts w:ascii="Times New Roman" w:hAnsi="Times New Roman" w:cs="Times New Roman"/>
                <w:sz w:val="24"/>
                <w:szCs w:val="24"/>
              </w:rPr>
              <w:t>now dismissed as “illusory short term macroeconomic fine-tuning” (</w:t>
            </w:r>
            <w:r>
              <w:rPr>
                <w:rFonts w:ascii="Times New Roman" w:hAnsi="Times New Roman" w:cs="Times New Roman"/>
                <w:sz w:val="24"/>
                <w:szCs w:val="24"/>
              </w:rPr>
              <w:t xml:space="preserve">BIS, </w:t>
            </w:r>
            <w:r w:rsidRPr="00A50FD4">
              <w:rPr>
                <w:rFonts w:ascii="Times New Roman" w:hAnsi="Times New Roman" w:cs="Times New Roman"/>
                <w:sz w:val="24"/>
                <w:szCs w:val="24"/>
              </w:rPr>
              <w:t>2015, p. 3)</w:t>
            </w:r>
            <w:r>
              <w:rPr>
                <w:rFonts w:ascii="Times New Roman" w:hAnsi="Times New Roman" w:cs="Times New Roman"/>
                <w:sz w:val="24"/>
                <w:szCs w:val="24"/>
              </w:rPr>
              <w:t>?</w:t>
            </w:r>
          </w:p>
          <w:p w14:paraId="369E7843" w14:textId="1F6088D3" w:rsidR="005365C4" w:rsidRDefault="00F13286" w:rsidP="00F5633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A106B">
              <w:rPr>
                <w:rFonts w:ascii="Times New Roman" w:hAnsi="Times New Roman" w:cs="Times New Roman"/>
                <w:sz w:val="24"/>
                <w:szCs w:val="24"/>
              </w:rPr>
              <w:t>There is no question that when</w:t>
            </w:r>
            <w:r w:rsidR="00B37FED">
              <w:rPr>
                <w:rFonts w:ascii="Times New Roman" w:hAnsi="Times New Roman" w:cs="Times New Roman"/>
                <w:sz w:val="24"/>
                <w:szCs w:val="24"/>
              </w:rPr>
              <w:t xml:space="preserve"> rapid expansion of credit</w:t>
            </w:r>
            <w:r w:rsidR="00A94F3B">
              <w:rPr>
                <w:rFonts w:ascii="Times New Roman" w:hAnsi="Times New Roman" w:cs="Times New Roman"/>
                <w:sz w:val="24"/>
                <w:szCs w:val="24"/>
              </w:rPr>
              <w:t xml:space="preserve"> leads</w:t>
            </w:r>
            <w:r w:rsidR="00B37FED">
              <w:rPr>
                <w:rFonts w:ascii="Times New Roman" w:hAnsi="Times New Roman" w:cs="Times New Roman"/>
                <w:sz w:val="24"/>
                <w:szCs w:val="24"/>
              </w:rPr>
              <w:t xml:space="preserve"> to rising leverage </w:t>
            </w:r>
            <w:r w:rsidR="00050F9D">
              <w:rPr>
                <w:rFonts w:ascii="Times New Roman" w:hAnsi="Times New Roman" w:cs="Times New Roman"/>
                <w:sz w:val="24"/>
                <w:szCs w:val="24"/>
              </w:rPr>
              <w:t>and</w:t>
            </w:r>
            <w:r w:rsidR="00B37FED">
              <w:rPr>
                <w:rFonts w:ascii="Times New Roman" w:hAnsi="Times New Roman" w:cs="Times New Roman"/>
                <w:sz w:val="24"/>
                <w:szCs w:val="24"/>
              </w:rPr>
              <w:t xml:space="preserve"> debt service to income ratios</w:t>
            </w:r>
            <w:r w:rsidR="00050F9D">
              <w:rPr>
                <w:rFonts w:ascii="Times New Roman" w:hAnsi="Times New Roman" w:cs="Times New Roman"/>
                <w:sz w:val="24"/>
                <w:szCs w:val="24"/>
              </w:rPr>
              <w:t xml:space="preserve">, </w:t>
            </w:r>
            <w:r w:rsidR="00B37FED">
              <w:rPr>
                <w:rFonts w:ascii="Times New Roman" w:hAnsi="Times New Roman" w:cs="Times New Roman"/>
                <w:sz w:val="24"/>
                <w:szCs w:val="24"/>
              </w:rPr>
              <w:t>w</w:t>
            </w:r>
            <w:r w:rsidR="008A106B">
              <w:rPr>
                <w:rFonts w:ascii="Times New Roman" w:hAnsi="Times New Roman" w:cs="Times New Roman"/>
                <w:sz w:val="24"/>
                <w:szCs w:val="24"/>
              </w:rPr>
              <w:t xml:space="preserve">e need to </w:t>
            </w:r>
            <w:r w:rsidR="0060728B">
              <w:rPr>
                <w:rFonts w:ascii="Times New Roman" w:hAnsi="Times New Roman" w:cs="Times New Roman"/>
                <w:sz w:val="24"/>
                <w:szCs w:val="24"/>
              </w:rPr>
              <w:t xml:space="preserve">take notice and </w:t>
            </w:r>
            <w:r w:rsidR="00B37FED">
              <w:rPr>
                <w:rFonts w:ascii="Times New Roman" w:hAnsi="Times New Roman" w:cs="Times New Roman"/>
                <w:sz w:val="24"/>
                <w:szCs w:val="24"/>
              </w:rPr>
              <w:t>possibly action</w:t>
            </w:r>
            <w:r w:rsidR="008A106B">
              <w:rPr>
                <w:rFonts w:ascii="Times New Roman" w:hAnsi="Times New Roman" w:cs="Times New Roman"/>
                <w:sz w:val="24"/>
                <w:szCs w:val="24"/>
              </w:rPr>
              <w:t xml:space="preserve">. But </w:t>
            </w:r>
            <w:r w:rsidR="00050F9D">
              <w:rPr>
                <w:rFonts w:ascii="Times New Roman" w:hAnsi="Times New Roman" w:cs="Times New Roman"/>
                <w:sz w:val="24"/>
                <w:szCs w:val="24"/>
              </w:rPr>
              <w:t xml:space="preserve">may </w:t>
            </w:r>
            <w:r w:rsidR="008A106B">
              <w:rPr>
                <w:rFonts w:ascii="Times New Roman" w:hAnsi="Times New Roman" w:cs="Times New Roman"/>
                <w:sz w:val="24"/>
                <w:szCs w:val="24"/>
              </w:rPr>
              <w:t xml:space="preserve">we not be overburdening the policy rate </w:t>
            </w:r>
            <w:r w:rsidR="00B37FED">
              <w:rPr>
                <w:rFonts w:ascii="Times New Roman" w:hAnsi="Times New Roman" w:cs="Times New Roman"/>
                <w:sz w:val="24"/>
                <w:szCs w:val="24"/>
              </w:rPr>
              <w:t>i</w:t>
            </w:r>
            <w:r w:rsidR="008A106B">
              <w:rPr>
                <w:rFonts w:ascii="Times New Roman" w:hAnsi="Times New Roman" w:cs="Times New Roman"/>
                <w:sz w:val="24"/>
                <w:szCs w:val="24"/>
              </w:rPr>
              <w:t xml:space="preserve">f we expect it to </w:t>
            </w:r>
            <w:r w:rsidR="00A94F3B">
              <w:rPr>
                <w:rFonts w:ascii="Times New Roman" w:hAnsi="Times New Roman" w:cs="Times New Roman"/>
                <w:sz w:val="24"/>
                <w:szCs w:val="24"/>
              </w:rPr>
              <w:t>keep a lid on these</w:t>
            </w:r>
            <w:r w:rsidR="00050F9D">
              <w:rPr>
                <w:rFonts w:ascii="Times New Roman" w:hAnsi="Times New Roman" w:cs="Times New Roman"/>
                <w:sz w:val="24"/>
                <w:szCs w:val="24"/>
              </w:rPr>
              <w:t xml:space="preserve"> variable</w:t>
            </w:r>
            <w:r w:rsidR="0060728B">
              <w:rPr>
                <w:rFonts w:ascii="Times New Roman" w:hAnsi="Times New Roman" w:cs="Times New Roman"/>
                <w:sz w:val="24"/>
                <w:szCs w:val="24"/>
              </w:rPr>
              <w:t>s</w:t>
            </w:r>
            <w:r w:rsidR="00050F9D">
              <w:rPr>
                <w:rFonts w:ascii="Times New Roman" w:hAnsi="Times New Roman" w:cs="Times New Roman"/>
                <w:sz w:val="24"/>
                <w:szCs w:val="24"/>
              </w:rPr>
              <w:t xml:space="preserve"> </w:t>
            </w:r>
            <w:r w:rsidR="008A106B">
              <w:rPr>
                <w:rFonts w:ascii="Times New Roman" w:hAnsi="Times New Roman" w:cs="Times New Roman"/>
                <w:sz w:val="24"/>
                <w:szCs w:val="24"/>
              </w:rPr>
              <w:t xml:space="preserve">along with its other </w:t>
            </w:r>
            <w:r w:rsidR="00B37FED">
              <w:rPr>
                <w:rFonts w:ascii="Times New Roman" w:hAnsi="Times New Roman" w:cs="Times New Roman"/>
                <w:sz w:val="24"/>
                <w:szCs w:val="24"/>
              </w:rPr>
              <w:t xml:space="preserve">traditional </w:t>
            </w:r>
            <w:r w:rsidR="008A106B">
              <w:rPr>
                <w:rFonts w:ascii="Times New Roman" w:hAnsi="Times New Roman" w:cs="Times New Roman"/>
                <w:sz w:val="24"/>
                <w:szCs w:val="24"/>
              </w:rPr>
              <w:t xml:space="preserve">responsibilities? </w:t>
            </w:r>
            <w:r w:rsidR="00050F9D">
              <w:rPr>
                <w:rFonts w:ascii="Times New Roman" w:hAnsi="Times New Roman" w:cs="Times New Roman"/>
                <w:sz w:val="24"/>
                <w:szCs w:val="24"/>
              </w:rPr>
              <w:t>A</w:t>
            </w:r>
            <w:r w:rsidR="008A106B" w:rsidRPr="009F3FFE">
              <w:rPr>
                <w:rFonts w:ascii="Times New Roman" w:hAnsi="Times New Roman" w:cs="Times New Roman"/>
                <w:sz w:val="24"/>
                <w:szCs w:val="24"/>
              </w:rPr>
              <w:t xml:space="preserve"> better way to control bubbles may be through the direct control of leverage.</w:t>
            </w:r>
            <w:r w:rsidR="00DF0A0C">
              <w:rPr>
                <w:rStyle w:val="FootnoteReference"/>
                <w:rFonts w:ascii="Times New Roman" w:hAnsi="Times New Roman" w:cs="Times New Roman"/>
                <w:sz w:val="24"/>
                <w:szCs w:val="24"/>
              </w:rPr>
              <w:footnoteReference w:id="27"/>
            </w:r>
            <w:r w:rsidR="008A106B" w:rsidRPr="009F3FFE">
              <w:rPr>
                <w:rFonts w:ascii="Times New Roman" w:hAnsi="Times New Roman" w:cs="Times New Roman"/>
                <w:sz w:val="24"/>
                <w:szCs w:val="24"/>
              </w:rPr>
              <w:t xml:space="preserve">  During the 1930s, policy actually moved in different directions on this with respect to housing and equities.  For stocks, the Fed was given responsibility for re</w:t>
            </w:r>
            <w:r w:rsidR="008A106B">
              <w:rPr>
                <w:rFonts w:ascii="Times New Roman" w:hAnsi="Times New Roman" w:cs="Times New Roman"/>
                <w:sz w:val="24"/>
                <w:szCs w:val="24"/>
              </w:rPr>
              <w:t>gulating margin; since 1974 this</w:t>
            </w:r>
            <w:r w:rsidR="008A106B" w:rsidRPr="009F3FFE">
              <w:rPr>
                <w:rFonts w:ascii="Times New Roman" w:hAnsi="Times New Roman" w:cs="Times New Roman"/>
                <w:sz w:val="24"/>
                <w:szCs w:val="24"/>
              </w:rPr>
              <w:t xml:space="preserve"> has been limited for new purchases to 50 percent.  On the other hand, in housing policy, the establishment of the Federal Housing Authority and Fannie Mae led to the standardization of the 30 year fully amortized mortgage, which </w:t>
            </w:r>
            <w:r w:rsidR="008A106B">
              <w:rPr>
                <w:rFonts w:ascii="Times New Roman" w:hAnsi="Times New Roman" w:cs="Times New Roman"/>
                <w:sz w:val="24"/>
                <w:szCs w:val="24"/>
              </w:rPr>
              <w:t xml:space="preserve">may have </w:t>
            </w:r>
            <w:r w:rsidR="008A106B" w:rsidRPr="009F3FFE">
              <w:rPr>
                <w:rFonts w:ascii="Times New Roman" w:hAnsi="Times New Roman" w:cs="Times New Roman"/>
                <w:sz w:val="24"/>
                <w:szCs w:val="24"/>
              </w:rPr>
              <w:t xml:space="preserve">represented an increase in leverage compared to what had prevailed </w:t>
            </w:r>
            <w:r w:rsidR="008A106B">
              <w:rPr>
                <w:rFonts w:ascii="Times New Roman" w:hAnsi="Times New Roman" w:cs="Times New Roman"/>
                <w:sz w:val="24"/>
                <w:szCs w:val="24"/>
              </w:rPr>
              <w:t>i</w:t>
            </w:r>
            <w:r w:rsidR="008A106B" w:rsidRPr="009F3FFE">
              <w:rPr>
                <w:rFonts w:ascii="Times New Roman" w:hAnsi="Times New Roman" w:cs="Times New Roman"/>
                <w:sz w:val="24"/>
                <w:szCs w:val="24"/>
              </w:rPr>
              <w:t>n the 1920s.</w:t>
            </w:r>
            <w:r w:rsidR="008A106B">
              <w:rPr>
                <w:rStyle w:val="FootnoteReference"/>
                <w:rFonts w:ascii="Times New Roman" w:hAnsi="Times New Roman" w:cs="Times New Roman"/>
                <w:sz w:val="24"/>
                <w:szCs w:val="24"/>
              </w:rPr>
              <w:footnoteReference w:id="28"/>
            </w:r>
            <w:r w:rsidR="008A106B" w:rsidRPr="009F3FFE">
              <w:rPr>
                <w:rFonts w:ascii="Times New Roman" w:hAnsi="Times New Roman" w:cs="Times New Roman"/>
                <w:sz w:val="24"/>
                <w:szCs w:val="24"/>
              </w:rPr>
              <w:t xml:space="preserve">   But from the standpoint of the 1930s, it was stocks not real estate that were perceived as having given rise to the speculative excesses that had helped precipitate depression, and it was with respect to stocks that the most radical action was taken. </w:t>
            </w:r>
          </w:p>
          <w:p w14:paraId="44CC6F7B" w14:textId="4DE0E07B" w:rsidR="005365C4" w:rsidRPr="009F3FFE" w:rsidRDefault="005365C4">
            <w:pPr>
              <w:spacing w:line="480" w:lineRule="auto"/>
              <w:ind w:firstLine="576"/>
              <w:rPr>
                <w:rFonts w:ascii="Times New Roman" w:eastAsia="Times New Roman" w:hAnsi="Times New Roman" w:cs="Times New Roman"/>
                <w:sz w:val="24"/>
                <w:szCs w:val="24"/>
              </w:rPr>
            </w:pPr>
          </w:p>
        </w:tc>
      </w:tr>
    </w:tbl>
    <w:p w14:paraId="7E3CBC57" w14:textId="188203A7" w:rsidR="00092C71" w:rsidRPr="001D0474" w:rsidRDefault="00F13286" w:rsidP="00A50FD4">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w:t>
      </w:r>
      <w:r w:rsidR="001D0474" w:rsidRPr="001D0474">
        <w:rPr>
          <w:rFonts w:ascii="Times New Roman" w:hAnsi="Times New Roman" w:cs="Times New Roman"/>
          <w:b/>
          <w:sz w:val="24"/>
          <w:szCs w:val="24"/>
        </w:rPr>
        <w:t>erences</w:t>
      </w:r>
    </w:p>
    <w:p w14:paraId="6B2940DA" w14:textId="77777777" w:rsidR="00422648" w:rsidRDefault="004E03A1" w:rsidP="00422648">
      <w:pPr>
        <w:spacing w:line="480" w:lineRule="auto"/>
        <w:ind w:hanging="576"/>
        <w:rPr>
          <w:rFonts w:ascii="Times New Roman" w:hAnsi="Times New Roman" w:cs="Times New Roman"/>
          <w:sz w:val="24"/>
          <w:szCs w:val="24"/>
        </w:rPr>
      </w:pPr>
      <w:r w:rsidRPr="009F3FFE">
        <w:rPr>
          <w:rFonts w:ascii="Times New Roman" w:hAnsi="Times New Roman" w:cs="Times New Roman"/>
          <w:sz w:val="24"/>
          <w:szCs w:val="24"/>
        </w:rPr>
        <w:t>Balke, Nathan S., and Robert J. Gordon. 1989. “The Estimation of Prewar Gross National Product: Methodology</w:t>
      </w:r>
      <w:r w:rsidRPr="00422648">
        <w:rPr>
          <w:rFonts w:ascii="Times New Roman" w:hAnsi="Times New Roman" w:cs="Times New Roman"/>
          <w:sz w:val="24"/>
          <w:szCs w:val="24"/>
        </w:rPr>
        <w:t xml:space="preserve"> and New Evidence.”  </w:t>
      </w:r>
      <w:r w:rsidRPr="00422648">
        <w:rPr>
          <w:rFonts w:ascii="Times New Roman" w:hAnsi="Times New Roman" w:cs="Times New Roman"/>
          <w:iCs/>
          <w:sz w:val="24"/>
          <w:szCs w:val="24"/>
          <w:u w:val="single"/>
        </w:rPr>
        <w:t>Journal of Political Economy</w:t>
      </w:r>
      <w:r w:rsidRPr="00422648">
        <w:rPr>
          <w:rFonts w:ascii="Times New Roman" w:hAnsi="Times New Roman" w:cs="Times New Roman"/>
          <w:sz w:val="24"/>
          <w:szCs w:val="24"/>
        </w:rPr>
        <w:t xml:space="preserve"> 97 (February): 38–92.</w:t>
      </w:r>
    </w:p>
    <w:p w14:paraId="680B525E" w14:textId="1CC5C521" w:rsidR="00B97FCF" w:rsidRPr="0060728B" w:rsidRDefault="00B97FCF" w:rsidP="00422648">
      <w:pPr>
        <w:spacing w:line="480" w:lineRule="auto"/>
        <w:ind w:hanging="576"/>
        <w:rPr>
          <w:rFonts w:ascii="Times New Roman" w:hAnsi="Times New Roman" w:cs="Times New Roman"/>
          <w:sz w:val="24"/>
          <w:szCs w:val="24"/>
        </w:rPr>
      </w:pPr>
      <w:r>
        <w:rPr>
          <w:rFonts w:ascii="Times New Roman" w:hAnsi="Times New Roman" w:cs="Times New Roman"/>
          <w:sz w:val="24"/>
          <w:szCs w:val="24"/>
        </w:rPr>
        <w:t xml:space="preserve">Bank for International Settlements. 2015. </w:t>
      </w:r>
      <w:r>
        <w:rPr>
          <w:rFonts w:ascii="Times New Roman" w:hAnsi="Times New Roman" w:cs="Times New Roman"/>
          <w:sz w:val="24"/>
          <w:szCs w:val="24"/>
          <w:u w:val="single"/>
        </w:rPr>
        <w:t>85</w:t>
      </w:r>
      <w:r w:rsidRPr="00A50FD4">
        <w:rPr>
          <w:rFonts w:ascii="Times New Roman" w:hAnsi="Times New Roman" w:cs="Times New Roman"/>
          <w:sz w:val="24"/>
          <w:szCs w:val="24"/>
          <w:u w:val="single"/>
          <w:vertAlign w:val="superscript"/>
        </w:rPr>
        <w:t>th</w:t>
      </w:r>
      <w:r>
        <w:rPr>
          <w:rFonts w:ascii="Times New Roman" w:hAnsi="Times New Roman" w:cs="Times New Roman"/>
          <w:sz w:val="24"/>
          <w:szCs w:val="24"/>
          <w:u w:val="single"/>
        </w:rPr>
        <w:t xml:space="preserve"> Annual </w:t>
      </w:r>
      <w:r w:rsidRPr="00B97FCF">
        <w:rPr>
          <w:rFonts w:ascii="Times New Roman" w:hAnsi="Times New Roman" w:cs="Times New Roman"/>
          <w:sz w:val="24"/>
          <w:szCs w:val="24"/>
          <w:u w:val="single"/>
        </w:rPr>
        <w:t>Report</w:t>
      </w:r>
      <w:r>
        <w:rPr>
          <w:rFonts w:ascii="Times New Roman" w:hAnsi="Times New Roman" w:cs="Times New Roman"/>
          <w:sz w:val="24"/>
          <w:szCs w:val="24"/>
        </w:rPr>
        <w:t xml:space="preserve">. Basel. Available at </w:t>
      </w:r>
      <w:r w:rsidRPr="00A50FD4">
        <w:rPr>
          <w:rFonts w:ascii="Times New Roman" w:hAnsi="Times New Roman" w:cs="Times New Roman"/>
          <w:color w:val="000000"/>
          <w:sz w:val="24"/>
          <w:szCs w:val="24"/>
        </w:rPr>
        <w:t>http://www.bis.org/publ/arpdf/ar2015e.pdf</w:t>
      </w:r>
      <w:r w:rsidRPr="0060728B">
        <w:rPr>
          <w:rFonts w:ascii="Times New Roman" w:hAnsi="Times New Roman" w:cs="Times New Roman"/>
          <w:sz w:val="24"/>
          <w:szCs w:val="24"/>
        </w:rPr>
        <w:t xml:space="preserve"> .</w:t>
      </w:r>
    </w:p>
    <w:p w14:paraId="14DF931D" w14:textId="77777777" w:rsidR="00295D31" w:rsidRDefault="00295D31" w:rsidP="00422648">
      <w:pPr>
        <w:spacing w:line="480" w:lineRule="auto"/>
        <w:ind w:hanging="576"/>
        <w:rPr>
          <w:rFonts w:ascii="Times New Roman" w:hAnsi="Times New Roman" w:cs="Times New Roman"/>
          <w:sz w:val="24"/>
          <w:szCs w:val="24"/>
        </w:rPr>
      </w:pPr>
      <w:r>
        <w:rPr>
          <w:rFonts w:ascii="Times New Roman" w:hAnsi="Times New Roman" w:cs="Times New Roman"/>
          <w:sz w:val="24"/>
          <w:szCs w:val="24"/>
        </w:rPr>
        <w:t xml:space="preserve">Basu, Susanto and John Fernald. 2009. “What do We Know (and not Know) about Potential Output?” </w:t>
      </w:r>
      <w:r w:rsidRPr="00295D31">
        <w:rPr>
          <w:rFonts w:ascii="Times New Roman" w:hAnsi="Times New Roman" w:cs="Times New Roman"/>
          <w:sz w:val="24"/>
          <w:szCs w:val="24"/>
          <w:u w:val="single"/>
        </w:rPr>
        <w:t>Federal Reserve Bank of St. Louis Review</w:t>
      </w:r>
      <w:r>
        <w:rPr>
          <w:rFonts w:ascii="Times New Roman" w:hAnsi="Times New Roman" w:cs="Times New Roman"/>
          <w:sz w:val="24"/>
          <w:szCs w:val="24"/>
        </w:rPr>
        <w:t xml:space="preserve"> (July/August): 187-213.</w:t>
      </w:r>
    </w:p>
    <w:p w14:paraId="71DF23BC" w14:textId="07DB809B" w:rsidR="00C73995" w:rsidRDefault="00295D31" w:rsidP="00422648">
      <w:pPr>
        <w:spacing w:line="480" w:lineRule="auto"/>
        <w:ind w:hanging="576"/>
        <w:rPr>
          <w:rFonts w:ascii="Times New Roman" w:hAnsi="Times New Roman" w:cs="Times New Roman"/>
          <w:sz w:val="24"/>
          <w:szCs w:val="24"/>
        </w:rPr>
      </w:pPr>
      <w:r>
        <w:rPr>
          <w:rFonts w:ascii="Times New Roman" w:hAnsi="Times New Roman" w:cs="Times New Roman"/>
          <w:sz w:val="24"/>
          <w:szCs w:val="24"/>
        </w:rPr>
        <w:t>B</w:t>
      </w:r>
      <w:r w:rsidR="00C73995" w:rsidRPr="00295D31">
        <w:rPr>
          <w:rFonts w:ascii="Times New Roman" w:hAnsi="Times New Roman" w:cs="Times New Roman"/>
          <w:sz w:val="24"/>
          <w:szCs w:val="24"/>
        </w:rPr>
        <w:t>ernanke</w:t>
      </w:r>
      <w:r w:rsidR="00C73995">
        <w:rPr>
          <w:rFonts w:ascii="Times New Roman" w:hAnsi="Times New Roman" w:cs="Times New Roman"/>
          <w:sz w:val="24"/>
          <w:szCs w:val="24"/>
        </w:rPr>
        <w:t xml:space="preserve">, Ben. 2010. “Monetary Policy and the Housing Bubble.”  Available at </w:t>
      </w:r>
      <w:hyperlink r:id="rId21" w:history="1">
        <w:r w:rsidR="00C73995" w:rsidRPr="00A71714">
          <w:rPr>
            <w:rStyle w:val="Hyperlink"/>
            <w:rFonts w:ascii="Times New Roman" w:hAnsi="Times New Roman" w:cs="Times New Roman"/>
            <w:sz w:val="24"/>
            <w:szCs w:val="24"/>
          </w:rPr>
          <w:t>http://www.federalreserve.gov/newsevents/speech/bernanke20100103a.htm</w:t>
        </w:r>
      </w:hyperlink>
      <w:r w:rsidR="00C73995">
        <w:rPr>
          <w:rFonts w:ascii="Times New Roman" w:hAnsi="Times New Roman" w:cs="Times New Roman"/>
          <w:sz w:val="24"/>
          <w:szCs w:val="24"/>
        </w:rPr>
        <w:t>.</w:t>
      </w:r>
    </w:p>
    <w:p w14:paraId="71B3D5F7" w14:textId="186ACAA0" w:rsidR="00232ED2" w:rsidRDefault="00232ED2" w:rsidP="00422648">
      <w:pPr>
        <w:spacing w:line="480" w:lineRule="auto"/>
        <w:ind w:hanging="576"/>
        <w:rPr>
          <w:rFonts w:ascii="Times New Roman" w:hAnsi="Times New Roman" w:cs="Times New Roman"/>
          <w:sz w:val="24"/>
          <w:szCs w:val="24"/>
        </w:rPr>
      </w:pPr>
      <w:r>
        <w:rPr>
          <w:rFonts w:ascii="Times New Roman" w:hAnsi="Times New Roman" w:cs="Times New Roman"/>
          <w:sz w:val="24"/>
          <w:szCs w:val="24"/>
        </w:rPr>
        <w:t xml:space="preserve">Bernanke, Ben. 2015. </w:t>
      </w:r>
      <w:r>
        <w:rPr>
          <w:rFonts w:ascii="Times New Roman" w:hAnsi="Times New Roman" w:cs="Times New Roman"/>
          <w:sz w:val="24"/>
          <w:szCs w:val="24"/>
          <w:u w:val="single"/>
        </w:rPr>
        <w:t xml:space="preserve">The Courage to </w:t>
      </w:r>
      <w:r w:rsidRPr="00232ED2">
        <w:rPr>
          <w:rFonts w:ascii="Times New Roman" w:hAnsi="Times New Roman" w:cs="Times New Roman"/>
          <w:sz w:val="24"/>
          <w:szCs w:val="24"/>
          <w:u w:val="single"/>
        </w:rPr>
        <w:t>Act</w:t>
      </w:r>
      <w:r>
        <w:rPr>
          <w:rFonts w:ascii="Times New Roman" w:hAnsi="Times New Roman" w:cs="Times New Roman"/>
          <w:sz w:val="24"/>
          <w:szCs w:val="24"/>
        </w:rPr>
        <w:t>.  New York:  W.W. Norton.</w:t>
      </w:r>
    </w:p>
    <w:p w14:paraId="427C5CB5" w14:textId="02E2A6C7" w:rsidR="00A74B8F" w:rsidRPr="00A50FD4" w:rsidRDefault="00133A43" w:rsidP="00422648">
      <w:pPr>
        <w:spacing w:line="480" w:lineRule="auto"/>
        <w:ind w:hanging="576"/>
        <w:rPr>
          <w:rFonts w:ascii="Times New Roman" w:hAnsi="Times New Roman" w:cs="Times New Roman"/>
          <w:color w:val="000000"/>
          <w:sz w:val="24"/>
          <w:szCs w:val="24"/>
        </w:rPr>
      </w:pPr>
      <w:r w:rsidRPr="00232ED2">
        <w:rPr>
          <w:rFonts w:ascii="Times New Roman" w:hAnsi="Times New Roman" w:cs="Times New Roman"/>
          <w:sz w:val="24"/>
          <w:szCs w:val="24"/>
        </w:rPr>
        <w:t>Congressional</w:t>
      </w:r>
      <w:r>
        <w:rPr>
          <w:rFonts w:ascii="Times New Roman" w:hAnsi="Times New Roman" w:cs="Times New Roman"/>
          <w:sz w:val="24"/>
          <w:szCs w:val="24"/>
        </w:rPr>
        <w:t xml:space="preserve"> Budget Office. 2004. “A Summary of Alternative Methods for Estimating Potential GDP.” Congressional Budget Office Background Paper.  Available at </w:t>
      </w:r>
      <w:hyperlink r:id="rId22" w:history="1">
        <w:r w:rsidRPr="00A50FD4">
          <w:rPr>
            <w:rStyle w:val="Hyperlink"/>
            <w:rFonts w:ascii="Times New Roman" w:hAnsi="Times New Roman" w:cs="Times New Roman"/>
            <w:sz w:val="24"/>
            <w:szCs w:val="24"/>
          </w:rPr>
          <w:t>https://www.cbo.gov/sites/default/files/108th-congress-2003-2004/reports/03-16-gdp.pdf</w:t>
        </w:r>
      </w:hyperlink>
    </w:p>
    <w:p w14:paraId="006C7E1F" w14:textId="5204A590" w:rsidR="00A74B8F" w:rsidRPr="00CA613A" w:rsidRDefault="00A74B8F" w:rsidP="00CA613A">
      <w:pPr>
        <w:spacing w:line="480" w:lineRule="auto"/>
        <w:ind w:hanging="576"/>
        <w:rPr>
          <w:rFonts w:ascii="Times New Roman" w:hAnsi="Times New Roman" w:cs="Times New Roman"/>
          <w:sz w:val="24"/>
          <w:szCs w:val="24"/>
        </w:rPr>
      </w:pPr>
      <w:r>
        <w:rPr>
          <w:rFonts w:ascii="Times New Roman" w:hAnsi="Times New Roman" w:cs="Times New Roman"/>
          <w:sz w:val="24"/>
          <w:szCs w:val="24"/>
        </w:rPr>
        <w:t>D</w:t>
      </w:r>
      <w:r w:rsidRPr="00CA613A">
        <w:rPr>
          <w:rFonts w:ascii="Times New Roman" w:hAnsi="Times New Roman" w:cs="Times New Roman"/>
          <w:sz w:val="24"/>
          <w:szCs w:val="24"/>
        </w:rPr>
        <w:t xml:space="preserve">eLong, J. Bradford and Lawrence H. Summers. 1988. “How Does Macroeconomic Policy Affect Output?”  </w:t>
      </w:r>
      <w:r w:rsidRPr="00CA613A">
        <w:rPr>
          <w:rFonts w:ascii="Times New Roman" w:hAnsi="Times New Roman" w:cs="Times New Roman"/>
          <w:sz w:val="24"/>
          <w:szCs w:val="24"/>
          <w:u w:val="single"/>
        </w:rPr>
        <w:t>Brookings Papers on Economic Activity</w:t>
      </w:r>
      <w:r w:rsidRPr="00CA613A">
        <w:rPr>
          <w:rFonts w:ascii="Times New Roman" w:hAnsi="Times New Roman" w:cs="Times New Roman"/>
          <w:sz w:val="24"/>
          <w:szCs w:val="24"/>
        </w:rPr>
        <w:t xml:space="preserve">  2: 433-494.</w:t>
      </w:r>
    </w:p>
    <w:p w14:paraId="4758DCF5" w14:textId="52EB6740" w:rsidR="00422648" w:rsidRPr="002A11BC" w:rsidRDefault="00422648" w:rsidP="00422648">
      <w:pPr>
        <w:spacing w:line="480" w:lineRule="auto"/>
        <w:ind w:hanging="576"/>
        <w:rPr>
          <w:rFonts w:ascii="Times New Roman" w:hAnsi="Times New Roman" w:cs="Times New Roman"/>
          <w:sz w:val="24"/>
          <w:szCs w:val="24"/>
        </w:rPr>
      </w:pPr>
      <w:r w:rsidRPr="002A11BC">
        <w:rPr>
          <w:rFonts w:ascii="Times New Roman" w:hAnsi="Times New Roman" w:cs="Times New Roman"/>
          <w:sz w:val="24"/>
          <w:szCs w:val="24"/>
        </w:rPr>
        <w:t xml:space="preserve">Field, Alexander J.  1984. </w:t>
      </w:r>
      <w:r w:rsidRPr="002A11BC">
        <w:rPr>
          <w:rFonts w:ascii="Times New Roman" w:hAnsi="Times New Roman" w:cs="Times New Roman"/>
          <w:spacing w:val="-2"/>
          <w:sz w:val="24"/>
          <w:szCs w:val="24"/>
        </w:rPr>
        <w:t xml:space="preserve">"Asset Exchanges and the Transactions Demand for Money, 1919-1929," </w:t>
      </w:r>
      <w:r w:rsidRPr="002A11BC">
        <w:rPr>
          <w:rFonts w:ascii="Times New Roman" w:hAnsi="Times New Roman" w:cs="Times New Roman"/>
          <w:spacing w:val="-2"/>
          <w:sz w:val="24"/>
          <w:szCs w:val="24"/>
          <w:u w:val="single"/>
        </w:rPr>
        <w:t>American Economic Review</w:t>
      </w:r>
      <w:r w:rsidRPr="002A11BC">
        <w:rPr>
          <w:rFonts w:ascii="Times New Roman" w:hAnsi="Times New Roman" w:cs="Times New Roman"/>
          <w:spacing w:val="-2"/>
          <w:sz w:val="24"/>
          <w:szCs w:val="24"/>
        </w:rPr>
        <w:t xml:space="preserve"> 74 (March): 43-59.</w:t>
      </w:r>
    </w:p>
    <w:p w14:paraId="7AB0B90D" w14:textId="77777777" w:rsidR="00422648" w:rsidRPr="002A11BC" w:rsidRDefault="00422648" w:rsidP="00422648">
      <w:pPr>
        <w:spacing w:line="480" w:lineRule="auto"/>
        <w:ind w:hanging="576"/>
        <w:rPr>
          <w:rFonts w:ascii="Times New Roman" w:hAnsi="Times New Roman" w:cs="Times New Roman"/>
          <w:sz w:val="24"/>
          <w:szCs w:val="24"/>
        </w:rPr>
      </w:pPr>
      <w:r w:rsidRPr="002A11BC">
        <w:rPr>
          <w:rFonts w:ascii="Times New Roman" w:hAnsi="Times New Roman" w:cs="Times New Roman"/>
          <w:sz w:val="24"/>
          <w:szCs w:val="24"/>
        </w:rPr>
        <w:t xml:space="preserve">Field, Alexander J.  1992. </w:t>
      </w:r>
      <w:r w:rsidRPr="002A11BC">
        <w:rPr>
          <w:rFonts w:ascii="Times New Roman" w:hAnsi="Times New Roman" w:cs="Times New Roman"/>
          <w:spacing w:val="-2"/>
          <w:sz w:val="24"/>
          <w:szCs w:val="24"/>
        </w:rPr>
        <w:t xml:space="preserve">"Uncontrolled Land Development and the Duration of the Depression in the United States," </w:t>
      </w:r>
      <w:r w:rsidRPr="002A11BC">
        <w:rPr>
          <w:rFonts w:ascii="Times New Roman" w:hAnsi="Times New Roman" w:cs="Times New Roman"/>
          <w:spacing w:val="-2"/>
          <w:sz w:val="24"/>
          <w:szCs w:val="24"/>
          <w:u w:val="single"/>
        </w:rPr>
        <w:t>Journal of Economic History</w:t>
      </w:r>
      <w:r w:rsidRPr="002A11BC">
        <w:rPr>
          <w:rFonts w:ascii="Times New Roman" w:hAnsi="Times New Roman" w:cs="Times New Roman"/>
          <w:spacing w:val="-2"/>
          <w:sz w:val="24"/>
          <w:szCs w:val="24"/>
        </w:rPr>
        <w:t xml:space="preserve"> 52 (December): 785-805.</w:t>
      </w:r>
    </w:p>
    <w:p w14:paraId="1DF87A9F" w14:textId="77777777" w:rsidR="00422648" w:rsidRPr="002A11BC" w:rsidRDefault="00422648" w:rsidP="00422648">
      <w:pPr>
        <w:spacing w:line="480" w:lineRule="auto"/>
        <w:ind w:hanging="576"/>
        <w:rPr>
          <w:rFonts w:ascii="Times New Roman" w:hAnsi="Times New Roman" w:cs="Times New Roman"/>
          <w:sz w:val="24"/>
          <w:szCs w:val="24"/>
        </w:rPr>
      </w:pPr>
      <w:r w:rsidRPr="002A11BC">
        <w:rPr>
          <w:rFonts w:ascii="Times New Roman" w:hAnsi="Times New Roman" w:cs="Times New Roman"/>
          <w:sz w:val="24"/>
          <w:szCs w:val="24"/>
        </w:rPr>
        <w:lastRenderedPageBreak/>
        <w:t xml:space="preserve">Field, Alexander J.  2003. “The Most Technologically Progressive Decade of the Century,” </w:t>
      </w:r>
      <w:r w:rsidRPr="002A11BC">
        <w:rPr>
          <w:rFonts w:ascii="Times New Roman" w:hAnsi="Times New Roman" w:cs="Times New Roman"/>
          <w:sz w:val="24"/>
          <w:szCs w:val="24"/>
          <w:u w:val="single"/>
        </w:rPr>
        <w:t>American Economic Review</w:t>
      </w:r>
      <w:r w:rsidRPr="002A11BC">
        <w:rPr>
          <w:rFonts w:ascii="Times New Roman" w:hAnsi="Times New Roman" w:cs="Times New Roman"/>
          <w:sz w:val="24"/>
          <w:szCs w:val="24"/>
        </w:rPr>
        <w:t xml:space="preserve"> 93 (September):  1399-1414.</w:t>
      </w:r>
    </w:p>
    <w:p w14:paraId="1273DB04" w14:textId="1AA30100" w:rsidR="00CE4519" w:rsidRDefault="00422648" w:rsidP="00CA613A">
      <w:pPr>
        <w:spacing w:line="480" w:lineRule="auto"/>
        <w:ind w:hanging="576"/>
        <w:rPr>
          <w:rFonts w:ascii="Times New Roman" w:hAnsi="Times New Roman" w:cs="Times New Roman"/>
          <w:spacing w:val="-2"/>
          <w:sz w:val="24"/>
          <w:szCs w:val="24"/>
        </w:rPr>
      </w:pPr>
      <w:r w:rsidRPr="002A11BC">
        <w:rPr>
          <w:rFonts w:ascii="Times New Roman" w:hAnsi="Times New Roman" w:cs="Times New Roman"/>
          <w:spacing w:val="-2"/>
          <w:sz w:val="24"/>
          <w:szCs w:val="24"/>
        </w:rPr>
        <w:t xml:space="preserve">Field, Alexander J.  2011.  </w:t>
      </w:r>
      <w:r w:rsidRPr="002A11BC">
        <w:rPr>
          <w:rFonts w:ascii="Times New Roman" w:hAnsi="Times New Roman" w:cs="Times New Roman"/>
          <w:spacing w:val="-2"/>
          <w:sz w:val="24"/>
          <w:szCs w:val="24"/>
          <w:u w:val="single"/>
        </w:rPr>
        <w:t>A Great Leap Forward:  1930s Depression and U.S. Economic Growth</w:t>
      </w:r>
      <w:r w:rsidRPr="002A11BC">
        <w:rPr>
          <w:rFonts w:ascii="Times New Roman" w:hAnsi="Times New Roman" w:cs="Times New Roman"/>
          <w:spacing w:val="-2"/>
          <w:sz w:val="24"/>
          <w:szCs w:val="24"/>
        </w:rPr>
        <w:t>. New Haven:  Yale University Press.</w:t>
      </w:r>
    </w:p>
    <w:p w14:paraId="6D9F431F" w14:textId="5E64A0B8" w:rsidR="00CE4519" w:rsidRDefault="00CE4519" w:rsidP="00F56339">
      <w:pPr>
        <w:spacing w:line="480" w:lineRule="auto"/>
        <w:ind w:hanging="576"/>
      </w:pPr>
      <w:r w:rsidRPr="00CA613A">
        <w:rPr>
          <w:rFonts w:ascii="Times New Roman" w:hAnsi="Times New Roman" w:cs="Times New Roman"/>
          <w:sz w:val="24"/>
          <w:szCs w:val="24"/>
        </w:rPr>
        <w:t>Field, Alexander J. 2014. “</w:t>
      </w:r>
      <w:r w:rsidRPr="00CA613A">
        <w:rPr>
          <w:rFonts w:ascii="Times New Roman" w:hAnsi="Times New Roman" w:cs="Times New Roman"/>
          <w:color w:val="000000"/>
          <w:sz w:val="24"/>
          <w:szCs w:val="24"/>
        </w:rPr>
        <w:t>The Interwar Housing Cycle in the Light of 2001-2011:  A Comparative Historical Approach.”</w:t>
      </w:r>
      <w:r w:rsidRPr="00CA613A">
        <w:rPr>
          <w:rFonts w:ascii="Times New Roman" w:hAnsi="Times New Roman" w:cs="Times New Roman"/>
          <w:sz w:val="24"/>
          <w:szCs w:val="24"/>
        </w:rPr>
        <w:t xml:space="preserve"> in Eugene N. White, Ken Snowden and Price Fishback, eds., </w:t>
      </w:r>
      <w:r w:rsidRPr="00CA613A">
        <w:rPr>
          <w:rFonts w:ascii="Times New Roman" w:hAnsi="Times New Roman" w:cs="Times New Roman"/>
          <w:sz w:val="24"/>
          <w:szCs w:val="24"/>
          <w:u w:val="single"/>
        </w:rPr>
        <w:t>Housing and Mortgage Markets in Historical Perspective</w:t>
      </w:r>
      <w:r w:rsidRPr="00CA613A">
        <w:rPr>
          <w:rFonts w:ascii="Times New Roman" w:hAnsi="Times New Roman" w:cs="Times New Roman"/>
          <w:sz w:val="24"/>
          <w:szCs w:val="24"/>
        </w:rPr>
        <w:t>.  Chicago:  University of Chicago Press, for the National Bureau of Economic Research, pp. 39-90.</w:t>
      </w:r>
    </w:p>
    <w:p w14:paraId="64CB0D58" w14:textId="067B8BD6" w:rsidR="00B81051" w:rsidRDefault="00B81051" w:rsidP="002A11BC">
      <w:pPr>
        <w:spacing w:line="480" w:lineRule="auto"/>
        <w:ind w:hanging="576"/>
        <w:rPr>
          <w:rFonts w:ascii="Times New Roman" w:hAnsi="Times New Roman" w:cs="Times New Roman"/>
          <w:sz w:val="24"/>
          <w:szCs w:val="24"/>
        </w:rPr>
      </w:pPr>
      <w:r>
        <w:rPr>
          <w:rFonts w:ascii="Times New Roman" w:hAnsi="Times New Roman" w:cs="Times New Roman"/>
          <w:sz w:val="24"/>
          <w:szCs w:val="24"/>
        </w:rPr>
        <w:t xml:space="preserve">Friedman, Milton and Anna J. Schwartz. 1963. </w:t>
      </w:r>
      <w:r>
        <w:rPr>
          <w:rFonts w:ascii="Times New Roman" w:hAnsi="Times New Roman" w:cs="Times New Roman"/>
          <w:sz w:val="24"/>
          <w:szCs w:val="24"/>
          <w:u w:val="single"/>
        </w:rPr>
        <w:t xml:space="preserve">A Monetary History of the United </w:t>
      </w:r>
      <w:r w:rsidRPr="00312BE8">
        <w:rPr>
          <w:rFonts w:ascii="Times New Roman" w:hAnsi="Times New Roman" w:cs="Times New Roman"/>
          <w:sz w:val="24"/>
          <w:szCs w:val="24"/>
          <w:u w:val="single"/>
        </w:rPr>
        <w:t>States</w:t>
      </w:r>
      <w:r w:rsidR="00312BE8" w:rsidRPr="00312BE8">
        <w:rPr>
          <w:rFonts w:ascii="Times New Roman" w:hAnsi="Times New Roman" w:cs="Times New Roman"/>
          <w:sz w:val="24"/>
          <w:szCs w:val="24"/>
          <w:u w:val="single"/>
        </w:rPr>
        <w:t>, 1867-1960</w:t>
      </w:r>
      <w:r w:rsidR="00312BE8">
        <w:rPr>
          <w:rFonts w:ascii="Times New Roman" w:hAnsi="Times New Roman" w:cs="Times New Roman"/>
          <w:sz w:val="24"/>
          <w:szCs w:val="24"/>
        </w:rPr>
        <w:t xml:space="preserve">. </w:t>
      </w:r>
      <w:r w:rsidR="002A11BC">
        <w:rPr>
          <w:rFonts w:ascii="Times New Roman" w:hAnsi="Times New Roman" w:cs="Times New Roman"/>
          <w:sz w:val="24"/>
          <w:szCs w:val="24"/>
        </w:rPr>
        <w:t>Pr</w:t>
      </w:r>
      <w:r>
        <w:rPr>
          <w:rFonts w:ascii="Times New Roman" w:hAnsi="Times New Roman" w:cs="Times New Roman"/>
          <w:sz w:val="24"/>
          <w:szCs w:val="24"/>
        </w:rPr>
        <w:t>inceton: Princeton University Press.</w:t>
      </w:r>
    </w:p>
    <w:p w14:paraId="23B1B448" w14:textId="77777777" w:rsidR="00562883" w:rsidRDefault="00562883" w:rsidP="00A277F0">
      <w:pPr>
        <w:spacing w:line="480" w:lineRule="auto"/>
        <w:ind w:hanging="576"/>
        <w:rPr>
          <w:rFonts w:ascii="Times New Roman" w:hAnsi="Times New Roman" w:cs="Times New Roman"/>
          <w:sz w:val="24"/>
          <w:szCs w:val="24"/>
        </w:rPr>
      </w:pPr>
      <w:r>
        <w:rPr>
          <w:rFonts w:ascii="Times New Roman" w:hAnsi="Times New Roman" w:cs="Times New Roman"/>
          <w:sz w:val="24"/>
          <w:szCs w:val="24"/>
        </w:rPr>
        <w:t xml:space="preserve">Friedman, Milton. 1969.  </w:t>
      </w:r>
      <w:r>
        <w:rPr>
          <w:rFonts w:ascii="Times New Roman" w:hAnsi="Times New Roman" w:cs="Times New Roman"/>
          <w:sz w:val="24"/>
          <w:szCs w:val="24"/>
          <w:u w:val="single"/>
        </w:rPr>
        <w:t xml:space="preserve">The Optimum Quantity of Money and Other </w:t>
      </w:r>
      <w:r w:rsidRPr="00562883">
        <w:rPr>
          <w:rFonts w:ascii="Times New Roman" w:hAnsi="Times New Roman" w:cs="Times New Roman"/>
          <w:sz w:val="24"/>
          <w:szCs w:val="24"/>
          <w:u w:val="single"/>
        </w:rPr>
        <w:t>Essays</w:t>
      </w:r>
      <w:r>
        <w:rPr>
          <w:rFonts w:ascii="Times New Roman" w:hAnsi="Times New Roman" w:cs="Times New Roman"/>
          <w:sz w:val="24"/>
          <w:szCs w:val="24"/>
        </w:rPr>
        <w:t>. Chicago: Aldine.</w:t>
      </w:r>
    </w:p>
    <w:p w14:paraId="33792398" w14:textId="735DFF00" w:rsidR="00562883" w:rsidRDefault="00562883" w:rsidP="00A277F0">
      <w:pPr>
        <w:spacing w:line="480" w:lineRule="auto"/>
        <w:ind w:hanging="576"/>
        <w:rPr>
          <w:rFonts w:ascii="Times New Roman" w:hAnsi="Times New Roman" w:cs="Times New Roman"/>
          <w:sz w:val="24"/>
          <w:szCs w:val="24"/>
        </w:rPr>
      </w:pPr>
      <w:r w:rsidRPr="00562883">
        <w:rPr>
          <w:rFonts w:ascii="Times New Roman" w:hAnsi="Times New Roman" w:cs="Times New Roman"/>
          <w:sz w:val="24"/>
          <w:szCs w:val="24"/>
        </w:rPr>
        <w:t>Friedman</w:t>
      </w:r>
      <w:r>
        <w:rPr>
          <w:rFonts w:ascii="Times New Roman" w:hAnsi="Times New Roman" w:cs="Times New Roman"/>
          <w:sz w:val="24"/>
          <w:szCs w:val="24"/>
        </w:rPr>
        <w:t xml:space="preserve">, Milton. 1993. “The “Plucking Model” of Business Fluctuations Revisited.” </w:t>
      </w:r>
      <w:r>
        <w:rPr>
          <w:rFonts w:ascii="Times New Roman" w:hAnsi="Times New Roman" w:cs="Times New Roman"/>
          <w:sz w:val="24"/>
          <w:szCs w:val="24"/>
          <w:u w:val="single"/>
        </w:rPr>
        <w:t xml:space="preserve">Economic </w:t>
      </w:r>
      <w:r w:rsidRPr="00562883">
        <w:rPr>
          <w:rFonts w:ascii="Times New Roman" w:hAnsi="Times New Roman" w:cs="Times New Roman"/>
          <w:sz w:val="24"/>
          <w:szCs w:val="24"/>
          <w:u w:val="single"/>
        </w:rPr>
        <w:t>Inquiry</w:t>
      </w:r>
      <w:r>
        <w:rPr>
          <w:rFonts w:ascii="Times New Roman" w:hAnsi="Times New Roman" w:cs="Times New Roman"/>
          <w:sz w:val="24"/>
          <w:szCs w:val="24"/>
        </w:rPr>
        <w:t xml:space="preserve"> 31 (April): 171-77.</w:t>
      </w:r>
    </w:p>
    <w:p w14:paraId="149B6C66" w14:textId="77777777" w:rsidR="001C3087" w:rsidRDefault="001C3087" w:rsidP="00A277F0">
      <w:pPr>
        <w:spacing w:line="480" w:lineRule="auto"/>
        <w:ind w:hanging="576"/>
        <w:rPr>
          <w:rFonts w:ascii="Times New Roman" w:hAnsi="Times New Roman" w:cs="Times New Roman"/>
          <w:sz w:val="24"/>
          <w:szCs w:val="24"/>
        </w:rPr>
      </w:pPr>
      <w:r>
        <w:rPr>
          <w:rFonts w:ascii="Times New Roman" w:hAnsi="Times New Roman" w:cs="Times New Roman"/>
          <w:sz w:val="24"/>
          <w:szCs w:val="24"/>
        </w:rPr>
        <w:t xml:space="preserve">Gibbs, Darren. 1995. “Potential Output: Concepts and Measurement.” </w:t>
      </w:r>
      <w:r>
        <w:rPr>
          <w:rFonts w:ascii="Times New Roman" w:hAnsi="Times New Roman" w:cs="Times New Roman"/>
          <w:sz w:val="24"/>
          <w:szCs w:val="24"/>
          <w:u w:val="single"/>
        </w:rPr>
        <w:t xml:space="preserve">Labour Market </w:t>
      </w:r>
      <w:r w:rsidRPr="001C3087">
        <w:rPr>
          <w:rFonts w:ascii="Times New Roman" w:hAnsi="Times New Roman" w:cs="Times New Roman"/>
          <w:sz w:val="24"/>
          <w:szCs w:val="24"/>
          <w:u w:val="single"/>
        </w:rPr>
        <w:t>Bulletin</w:t>
      </w:r>
      <w:r>
        <w:rPr>
          <w:rFonts w:ascii="Times New Roman" w:hAnsi="Times New Roman" w:cs="Times New Roman"/>
          <w:sz w:val="24"/>
          <w:szCs w:val="24"/>
        </w:rPr>
        <w:t xml:space="preserve"> 1:  75-115.</w:t>
      </w:r>
    </w:p>
    <w:p w14:paraId="638A221D" w14:textId="299A4738" w:rsidR="000668DE" w:rsidRDefault="000668DE" w:rsidP="00A277F0">
      <w:pPr>
        <w:spacing w:line="480" w:lineRule="auto"/>
        <w:ind w:hanging="576"/>
        <w:rPr>
          <w:rFonts w:ascii="Times New Roman" w:hAnsi="Times New Roman" w:cs="Times New Roman"/>
          <w:sz w:val="24"/>
          <w:szCs w:val="24"/>
        </w:rPr>
      </w:pPr>
      <w:r w:rsidRPr="001C3087">
        <w:rPr>
          <w:rFonts w:ascii="Times New Roman" w:hAnsi="Times New Roman" w:cs="Times New Roman"/>
          <w:sz w:val="24"/>
          <w:szCs w:val="24"/>
        </w:rPr>
        <w:t>Gordon</w:t>
      </w:r>
      <w:r w:rsidRPr="000668DE">
        <w:rPr>
          <w:rFonts w:ascii="Times New Roman" w:hAnsi="Times New Roman" w:cs="Times New Roman"/>
          <w:sz w:val="24"/>
          <w:szCs w:val="24"/>
        </w:rPr>
        <w:t xml:space="preserve">, Robert J. </w:t>
      </w:r>
      <w:r>
        <w:rPr>
          <w:rFonts w:ascii="Times New Roman" w:hAnsi="Times New Roman" w:cs="Times New Roman"/>
          <w:sz w:val="24"/>
          <w:szCs w:val="24"/>
        </w:rPr>
        <w:t xml:space="preserve">1982 </w:t>
      </w:r>
      <w:r w:rsidRPr="000668DE">
        <w:rPr>
          <w:rFonts w:ascii="Times New Roman" w:hAnsi="Times New Roman" w:cs="Times New Roman"/>
          <w:sz w:val="24"/>
          <w:szCs w:val="24"/>
        </w:rPr>
        <w:t>"Price Inertia and Policy Ineffectiveness in the United States, 1890-1980."</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Journal of Political </w:t>
      </w:r>
      <w:r w:rsidRPr="000668DE">
        <w:rPr>
          <w:rFonts w:ascii="Times New Roman" w:hAnsi="Times New Roman" w:cs="Times New Roman"/>
          <w:sz w:val="24"/>
          <w:szCs w:val="24"/>
          <w:u w:val="single"/>
        </w:rPr>
        <w:t>Economy</w:t>
      </w:r>
      <w:r>
        <w:rPr>
          <w:rFonts w:ascii="Times New Roman" w:hAnsi="Times New Roman" w:cs="Times New Roman"/>
          <w:sz w:val="24"/>
          <w:szCs w:val="24"/>
        </w:rPr>
        <w:t xml:space="preserve"> 90 (December</w:t>
      </w:r>
      <w:r w:rsidRPr="000668DE">
        <w:rPr>
          <w:rFonts w:ascii="Times New Roman" w:hAnsi="Times New Roman" w:cs="Times New Roman"/>
          <w:sz w:val="24"/>
          <w:szCs w:val="24"/>
        </w:rPr>
        <w:t xml:space="preserve">): 1087-1117. </w:t>
      </w:r>
    </w:p>
    <w:p w14:paraId="1FD7EB2E" w14:textId="20FCED73" w:rsidR="009B7E84" w:rsidRPr="009F3FFE" w:rsidRDefault="004E03A1" w:rsidP="00A277F0">
      <w:pPr>
        <w:spacing w:line="480" w:lineRule="auto"/>
        <w:ind w:hanging="576"/>
        <w:rPr>
          <w:rFonts w:ascii="Times New Roman" w:hAnsi="Times New Roman" w:cs="Times New Roman"/>
          <w:sz w:val="24"/>
          <w:szCs w:val="24"/>
        </w:rPr>
      </w:pPr>
      <w:r w:rsidRPr="00B81051">
        <w:rPr>
          <w:rFonts w:ascii="Times New Roman" w:hAnsi="Times New Roman" w:cs="Times New Roman"/>
          <w:sz w:val="24"/>
          <w:szCs w:val="24"/>
        </w:rPr>
        <w:t>Hauptmaier</w:t>
      </w:r>
      <w:r w:rsidRPr="009F3FFE">
        <w:rPr>
          <w:rFonts w:ascii="Times New Roman" w:hAnsi="Times New Roman" w:cs="Times New Roman"/>
          <w:sz w:val="24"/>
          <w:szCs w:val="24"/>
        </w:rPr>
        <w:t>, Sebastian, Freidrich Heinemann, Marcus K</w:t>
      </w:r>
      <w:r w:rsidR="00C763C2">
        <w:rPr>
          <w:rFonts w:ascii="Times New Roman" w:hAnsi="Times New Roman" w:cs="Times New Roman"/>
          <w:sz w:val="24"/>
          <w:szCs w:val="24"/>
        </w:rPr>
        <w:t>eppler, Margit Kraus, Andreas Sc</w:t>
      </w:r>
      <w:r w:rsidRPr="009F3FFE">
        <w:rPr>
          <w:rFonts w:ascii="Times New Roman" w:hAnsi="Times New Roman" w:cs="Times New Roman"/>
          <w:sz w:val="24"/>
          <w:szCs w:val="24"/>
        </w:rPr>
        <w:t xml:space="preserve">hrimpf, </w:t>
      </w:r>
      <w:r w:rsidR="00C763C2">
        <w:rPr>
          <w:rFonts w:ascii="Times New Roman" w:hAnsi="Times New Roman" w:cs="Times New Roman"/>
          <w:sz w:val="24"/>
          <w:szCs w:val="24"/>
        </w:rPr>
        <w:t>, Hans-Michael Trautwein, and Qi</w:t>
      </w:r>
      <w:r w:rsidRPr="009F3FFE">
        <w:rPr>
          <w:rFonts w:ascii="Times New Roman" w:hAnsi="Times New Roman" w:cs="Times New Roman"/>
          <w:sz w:val="24"/>
          <w:szCs w:val="24"/>
        </w:rPr>
        <w:t>ngwei Wang. 2009</w:t>
      </w:r>
      <w:r w:rsidR="0060728B">
        <w:rPr>
          <w:rFonts w:ascii="Times New Roman" w:hAnsi="Times New Roman" w:cs="Times New Roman"/>
          <w:sz w:val="24"/>
          <w:szCs w:val="24"/>
        </w:rPr>
        <w:t>.</w:t>
      </w:r>
      <w:r w:rsidRPr="009F3FFE">
        <w:rPr>
          <w:rFonts w:ascii="Times New Roman" w:hAnsi="Times New Roman" w:cs="Times New Roman"/>
          <w:sz w:val="24"/>
          <w:szCs w:val="24"/>
        </w:rPr>
        <w:t xml:space="preserve"> </w:t>
      </w:r>
      <w:r w:rsidRPr="009F3FFE">
        <w:rPr>
          <w:rFonts w:ascii="Times New Roman" w:hAnsi="Times New Roman" w:cs="Times New Roman"/>
          <w:sz w:val="24"/>
          <w:szCs w:val="24"/>
          <w:u w:val="single"/>
        </w:rPr>
        <w:t>Projecting  Potential Output: Methods and Problems</w:t>
      </w:r>
      <w:r w:rsidRPr="009F3FFE">
        <w:rPr>
          <w:rFonts w:ascii="Times New Roman" w:hAnsi="Times New Roman" w:cs="Times New Roman"/>
          <w:sz w:val="24"/>
          <w:szCs w:val="24"/>
        </w:rPr>
        <w:t>. Physica-Verlag: Heidleberg.</w:t>
      </w:r>
    </w:p>
    <w:p w14:paraId="7FE7B91B" w14:textId="77777777" w:rsidR="005E646C" w:rsidRPr="009F3FFE" w:rsidRDefault="005E646C" w:rsidP="00A277F0">
      <w:pPr>
        <w:spacing w:line="480" w:lineRule="auto"/>
        <w:ind w:hanging="576"/>
        <w:rPr>
          <w:rFonts w:ascii="Times New Roman" w:hAnsi="Times New Roman" w:cs="Times New Roman"/>
          <w:sz w:val="24"/>
          <w:szCs w:val="24"/>
        </w:rPr>
      </w:pPr>
      <w:r w:rsidRPr="009F3FFE">
        <w:rPr>
          <w:rFonts w:ascii="Times New Roman" w:hAnsi="Times New Roman" w:cs="Times New Roman"/>
          <w:sz w:val="24"/>
          <w:szCs w:val="24"/>
        </w:rPr>
        <w:lastRenderedPageBreak/>
        <w:t xml:space="preserve">Hollander, Jacob H. 1920. “Prices.” </w:t>
      </w:r>
      <w:r w:rsidRPr="009F3FFE">
        <w:rPr>
          <w:rFonts w:ascii="Times New Roman" w:hAnsi="Times New Roman" w:cs="Times New Roman"/>
          <w:sz w:val="24"/>
          <w:szCs w:val="24"/>
          <w:u w:val="single"/>
        </w:rPr>
        <w:t xml:space="preserve">Annals of the American Academy of Political and Social </w:t>
      </w:r>
      <w:r w:rsidRPr="009F3FFE">
        <w:rPr>
          <w:rFonts w:ascii="Times New Roman" w:hAnsi="Times New Roman" w:cs="Times New Roman"/>
          <w:sz w:val="24"/>
          <w:szCs w:val="24"/>
        </w:rPr>
        <w:t>Scuience 89(May): 253-257.</w:t>
      </w:r>
    </w:p>
    <w:p w14:paraId="5B7659AE" w14:textId="77B52DC0" w:rsidR="009B7E84" w:rsidRPr="009F3FFE" w:rsidRDefault="00E4671B" w:rsidP="00A277F0">
      <w:pPr>
        <w:spacing w:line="480" w:lineRule="auto"/>
        <w:ind w:hanging="576"/>
        <w:rPr>
          <w:rFonts w:ascii="Times New Roman" w:hAnsi="Times New Roman" w:cs="Times New Roman"/>
          <w:sz w:val="24"/>
          <w:szCs w:val="24"/>
        </w:rPr>
      </w:pPr>
      <w:r w:rsidRPr="009F3FFE">
        <w:rPr>
          <w:rFonts w:ascii="Times New Roman" w:hAnsi="Times New Roman" w:cs="Times New Roman"/>
          <w:sz w:val="24"/>
          <w:szCs w:val="24"/>
        </w:rPr>
        <w:t xml:space="preserve">Hubbard, Joseph R. </w:t>
      </w:r>
      <w:r w:rsidR="009B7E84" w:rsidRPr="009F3FFE">
        <w:rPr>
          <w:rFonts w:ascii="Times New Roman" w:hAnsi="Times New Roman" w:cs="Times New Roman"/>
          <w:sz w:val="24"/>
          <w:szCs w:val="24"/>
        </w:rPr>
        <w:t xml:space="preserve"> (1926).</w:t>
      </w:r>
      <w:r w:rsidR="005E13B0" w:rsidRPr="009F3FFE">
        <w:rPr>
          <w:rFonts w:ascii="Times New Roman" w:hAnsi="Times New Roman" w:cs="Times New Roman"/>
          <w:sz w:val="24"/>
          <w:szCs w:val="24"/>
        </w:rPr>
        <w:t xml:space="preserve"> </w:t>
      </w:r>
      <w:r w:rsidR="009B7E84" w:rsidRPr="009F3FFE">
        <w:rPr>
          <w:rFonts w:ascii="Times New Roman" w:hAnsi="Times New Roman" w:cs="Times New Roman"/>
          <w:sz w:val="24"/>
          <w:szCs w:val="24"/>
        </w:rPr>
        <w:t xml:space="preserve">“A Weekly Index of Money Rates, 1922-25”. </w:t>
      </w:r>
      <w:r w:rsidR="009B7E84" w:rsidRPr="009F3FFE">
        <w:rPr>
          <w:rFonts w:ascii="Times New Roman" w:hAnsi="Times New Roman" w:cs="Times New Roman"/>
          <w:sz w:val="24"/>
          <w:szCs w:val="24"/>
          <w:u w:val="single"/>
        </w:rPr>
        <w:t>Review of Economics and Statistics</w:t>
      </w:r>
      <w:r w:rsidR="009B7E84" w:rsidRPr="009F3FFE">
        <w:rPr>
          <w:rFonts w:ascii="Times New Roman" w:hAnsi="Times New Roman" w:cs="Times New Roman"/>
          <w:sz w:val="24"/>
          <w:szCs w:val="24"/>
        </w:rPr>
        <w:t xml:space="preserve"> 8 (January): 23-28.</w:t>
      </w:r>
    </w:p>
    <w:p w14:paraId="16714F7B" w14:textId="77777777" w:rsidR="007122C8" w:rsidRDefault="007122C8" w:rsidP="00A277F0">
      <w:pPr>
        <w:spacing w:line="480" w:lineRule="auto"/>
        <w:ind w:hanging="576"/>
        <w:rPr>
          <w:rFonts w:ascii="Times New Roman" w:hAnsi="Times New Roman" w:cs="Times New Roman"/>
          <w:sz w:val="24"/>
          <w:szCs w:val="24"/>
        </w:rPr>
      </w:pPr>
      <w:r>
        <w:rPr>
          <w:rFonts w:ascii="Times New Roman" w:hAnsi="Times New Roman" w:cs="Times New Roman"/>
          <w:sz w:val="24"/>
          <w:szCs w:val="24"/>
        </w:rPr>
        <w:t xml:space="preserve">Jahan, Sarmut and Ahmed Saber Mahmud. 2013. “What is the Output Gap?” </w:t>
      </w:r>
      <w:r>
        <w:rPr>
          <w:rFonts w:ascii="Times New Roman" w:hAnsi="Times New Roman" w:cs="Times New Roman"/>
          <w:sz w:val="24"/>
          <w:szCs w:val="24"/>
          <w:u w:val="single"/>
        </w:rPr>
        <w:t xml:space="preserve">Finance and </w:t>
      </w:r>
      <w:r w:rsidRPr="00F9781C">
        <w:rPr>
          <w:rFonts w:ascii="Times New Roman" w:hAnsi="Times New Roman" w:cs="Times New Roman"/>
          <w:sz w:val="24"/>
          <w:szCs w:val="24"/>
          <w:u w:val="single"/>
        </w:rPr>
        <w:t>Development</w:t>
      </w:r>
      <w:r>
        <w:rPr>
          <w:rFonts w:ascii="Times New Roman" w:hAnsi="Times New Roman" w:cs="Times New Roman"/>
          <w:sz w:val="24"/>
          <w:szCs w:val="24"/>
        </w:rPr>
        <w:t xml:space="preserve"> (September): 38-39.</w:t>
      </w:r>
    </w:p>
    <w:p w14:paraId="130C0A51" w14:textId="0C97AF61" w:rsidR="00A87FB5" w:rsidRPr="009F3FFE" w:rsidRDefault="007122C8" w:rsidP="00A277F0">
      <w:pPr>
        <w:spacing w:line="480" w:lineRule="auto"/>
        <w:ind w:hanging="576"/>
        <w:rPr>
          <w:rFonts w:ascii="Times New Roman" w:hAnsi="Times New Roman" w:cs="Times New Roman"/>
          <w:sz w:val="24"/>
          <w:szCs w:val="24"/>
        </w:rPr>
      </w:pPr>
      <w:r>
        <w:rPr>
          <w:rFonts w:ascii="Times New Roman" w:hAnsi="Times New Roman" w:cs="Times New Roman"/>
          <w:sz w:val="24"/>
          <w:szCs w:val="24"/>
        </w:rPr>
        <w:t>K</w:t>
      </w:r>
      <w:r w:rsidR="00A87FB5" w:rsidRPr="007122C8">
        <w:rPr>
          <w:rFonts w:ascii="Times New Roman" w:hAnsi="Times New Roman" w:cs="Times New Roman"/>
          <w:sz w:val="24"/>
          <w:szCs w:val="24"/>
        </w:rPr>
        <w:t>emmerer</w:t>
      </w:r>
      <w:r w:rsidR="00A87FB5" w:rsidRPr="009F3FFE">
        <w:rPr>
          <w:rFonts w:ascii="Times New Roman" w:hAnsi="Times New Roman" w:cs="Times New Roman"/>
          <w:sz w:val="24"/>
          <w:szCs w:val="24"/>
        </w:rPr>
        <w:t xml:space="preserve"> E. W. 1918. “Inflation.” </w:t>
      </w:r>
      <w:r w:rsidR="00A87FB5" w:rsidRPr="009F3FFE">
        <w:rPr>
          <w:rFonts w:ascii="Times New Roman" w:hAnsi="Times New Roman" w:cs="Times New Roman"/>
          <w:sz w:val="24"/>
          <w:szCs w:val="24"/>
          <w:u w:val="single"/>
        </w:rPr>
        <w:t>American Economic Review</w:t>
      </w:r>
      <w:r w:rsidR="00A87FB5" w:rsidRPr="009F3FFE">
        <w:rPr>
          <w:rFonts w:ascii="Times New Roman" w:hAnsi="Times New Roman" w:cs="Times New Roman"/>
          <w:sz w:val="24"/>
          <w:szCs w:val="24"/>
        </w:rPr>
        <w:t xml:space="preserve"> 8 (June): 247-269.</w:t>
      </w:r>
    </w:p>
    <w:p w14:paraId="76E91E13" w14:textId="1D452418" w:rsidR="00A96D6D" w:rsidRPr="00A96D6D" w:rsidRDefault="00A96D6D" w:rsidP="00A277F0">
      <w:pPr>
        <w:spacing w:line="480" w:lineRule="auto"/>
        <w:ind w:hanging="576"/>
        <w:rPr>
          <w:rFonts w:ascii="Times New Roman" w:hAnsi="Times New Roman" w:cs="Times New Roman"/>
          <w:sz w:val="24"/>
          <w:szCs w:val="24"/>
          <w:u w:val="single"/>
        </w:rPr>
      </w:pPr>
      <w:r>
        <w:rPr>
          <w:rFonts w:ascii="Times New Roman" w:hAnsi="Times New Roman" w:cs="Times New Roman"/>
          <w:sz w:val="24"/>
          <w:szCs w:val="24"/>
        </w:rPr>
        <w:t xml:space="preserve">Kuznets, Simon. 1961. </w:t>
      </w:r>
      <w:r>
        <w:rPr>
          <w:rFonts w:ascii="Times New Roman" w:hAnsi="Times New Roman" w:cs="Times New Roman"/>
          <w:sz w:val="24"/>
          <w:szCs w:val="24"/>
          <w:u w:val="single"/>
        </w:rPr>
        <w:t xml:space="preserve">Capital in the American </w:t>
      </w:r>
      <w:r w:rsidRPr="00A96D6D">
        <w:rPr>
          <w:rFonts w:ascii="Times New Roman" w:hAnsi="Times New Roman" w:cs="Times New Roman"/>
          <w:sz w:val="24"/>
          <w:szCs w:val="24"/>
          <w:u w:val="single"/>
        </w:rPr>
        <w:t>Economy</w:t>
      </w:r>
      <w:r w:rsidR="001D0474">
        <w:rPr>
          <w:rFonts w:ascii="Times New Roman" w:hAnsi="Times New Roman" w:cs="Times New Roman"/>
          <w:sz w:val="24"/>
          <w:szCs w:val="24"/>
          <w:u w:val="single"/>
        </w:rPr>
        <w:t>: Its Formation and Financing</w:t>
      </w:r>
      <w:r w:rsidR="001D0474">
        <w:rPr>
          <w:rFonts w:ascii="Times New Roman" w:hAnsi="Times New Roman" w:cs="Times New Roman"/>
          <w:sz w:val="24"/>
          <w:szCs w:val="24"/>
        </w:rPr>
        <w:t>. Princeton: Princeton University Press.</w:t>
      </w:r>
    </w:p>
    <w:p w14:paraId="23F243A9" w14:textId="34AE726A" w:rsidR="00A96D6D" w:rsidRDefault="00014B57" w:rsidP="00A277F0">
      <w:pPr>
        <w:spacing w:line="480" w:lineRule="auto"/>
        <w:ind w:hanging="576"/>
        <w:rPr>
          <w:rFonts w:ascii="Times New Roman" w:hAnsi="Times New Roman" w:cs="Times New Roman"/>
          <w:sz w:val="24"/>
          <w:szCs w:val="24"/>
        </w:rPr>
      </w:pPr>
      <w:r w:rsidRPr="00014B57">
        <w:rPr>
          <w:rFonts w:ascii="Times New Roman" w:hAnsi="Times New Roman" w:cs="Times New Roman"/>
          <w:sz w:val="24"/>
          <w:szCs w:val="24"/>
        </w:rPr>
        <w:t xml:space="preserve">Long, John B. and Charles I. Plosser. 1987. “Sectoral vs. Aggregate Shocks in the Business Cycle.” </w:t>
      </w:r>
      <w:r w:rsidRPr="00014B57">
        <w:rPr>
          <w:rFonts w:ascii="Times New Roman" w:hAnsi="Times New Roman" w:cs="Times New Roman"/>
          <w:sz w:val="24"/>
          <w:szCs w:val="24"/>
          <w:u w:val="single"/>
        </w:rPr>
        <w:t>American Economic Review</w:t>
      </w:r>
      <w:r>
        <w:rPr>
          <w:rFonts w:ascii="Times New Roman" w:hAnsi="Times New Roman" w:cs="Times New Roman"/>
          <w:sz w:val="24"/>
          <w:szCs w:val="24"/>
        </w:rPr>
        <w:t>, 77: 333-336.</w:t>
      </w:r>
    </w:p>
    <w:p w14:paraId="6D020FC8" w14:textId="7BCA2928" w:rsidR="0029393B" w:rsidRDefault="0029393B" w:rsidP="00A50FD4">
      <w:pPr>
        <w:spacing w:line="480" w:lineRule="auto"/>
        <w:ind w:hanging="576"/>
        <w:rPr>
          <w:rFonts w:ascii="Times New Roman" w:hAnsi="Times New Roman" w:cs="Times New Roman"/>
          <w:sz w:val="24"/>
          <w:szCs w:val="24"/>
        </w:rPr>
      </w:pPr>
      <w:r>
        <w:rPr>
          <w:rFonts w:ascii="Times New Roman" w:hAnsi="Times New Roman" w:cs="Times New Roman"/>
          <w:sz w:val="24"/>
          <w:szCs w:val="24"/>
        </w:rPr>
        <w:t xml:space="preserve">Mishkin, Fredric S. 2007.  “Estimating Potential Output.”  Speech given at the Federal Reserve Bank of Dallas Conference, May 24.  Available at </w:t>
      </w:r>
      <w:hyperlink r:id="rId23" w:anchor="f10" w:history="1">
        <w:r w:rsidRPr="00A71714">
          <w:rPr>
            <w:rStyle w:val="Hyperlink"/>
            <w:rFonts w:ascii="Times New Roman" w:hAnsi="Times New Roman" w:cs="Times New Roman"/>
            <w:sz w:val="24"/>
            <w:szCs w:val="24"/>
          </w:rPr>
          <w:t>http://www.federalreserve.gov/newsevents/speech/mishkin20070524a.htm#f10</w:t>
        </w:r>
      </w:hyperlink>
      <w:r>
        <w:rPr>
          <w:rFonts w:ascii="Times New Roman" w:hAnsi="Times New Roman" w:cs="Times New Roman"/>
          <w:sz w:val="24"/>
          <w:szCs w:val="24"/>
        </w:rPr>
        <w:t>.</w:t>
      </w:r>
    </w:p>
    <w:p w14:paraId="417A148D" w14:textId="4AEE60E3" w:rsidR="00474814" w:rsidRPr="00474814" w:rsidRDefault="00474814" w:rsidP="00A50FD4">
      <w:pPr>
        <w:spacing w:line="480" w:lineRule="auto"/>
        <w:ind w:hanging="576"/>
        <w:rPr>
          <w:rFonts w:ascii="Times New Roman" w:hAnsi="Times New Roman" w:cs="Times New Roman"/>
          <w:sz w:val="24"/>
          <w:szCs w:val="24"/>
        </w:rPr>
      </w:pPr>
      <w:r w:rsidRPr="00FE4CE3">
        <w:rPr>
          <w:rFonts w:ascii="Times New Roman" w:hAnsi="Times New Roman" w:cs="Times New Roman"/>
          <w:sz w:val="24"/>
          <w:szCs w:val="24"/>
        </w:rPr>
        <w:t>Okun, Arthur M. 1962. “</w:t>
      </w:r>
      <w:r>
        <w:rPr>
          <w:rFonts w:ascii="Times New Roman" w:hAnsi="Times New Roman" w:cs="Times New Roman"/>
          <w:sz w:val="24"/>
          <w:szCs w:val="24"/>
        </w:rPr>
        <w:t>Potential GDP: Its Measurement and S</w:t>
      </w:r>
      <w:r w:rsidRPr="00FE4CE3">
        <w:rPr>
          <w:rFonts w:ascii="Times New Roman" w:hAnsi="Times New Roman" w:cs="Times New Roman"/>
          <w:sz w:val="24"/>
          <w:szCs w:val="24"/>
        </w:rPr>
        <w:t>ignificance”. Proceedings of the Business and Economic Statistics Section, American Statistical Association, pp 98–104.</w:t>
      </w:r>
      <w:r w:rsidRPr="00474814">
        <w:rPr>
          <w:rFonts w:ascii="Times New Roman" w:hAnsi="Times New Roman" w:cs="Times New Roman"/>
          <w:sz w:val="24"/>
          <w:szCs w:val="24"/>
        </w:rPr>
        <w:t xml:space="preserve"> </w:t>
      </w:r>
    </w:p>
    <w:p w14:paraId="2360AA03" w14:textId="322FC453" w:rsidR="007E0F99" w:rsidRDefault="007E0F99" w:rsidP="00A50FD4">
      <w:pPr>
        <w:spacing w:line="480" w:lineRule="auto"/>
        <w:ind w:hanging="576"/>
        <w:rPr>
          <w:rFonts w:ascii="Times New Roman" w:hAnsi="Times New Roman" w:cs="Times New Roman"/>
          <w:sz w:val="24"/>
          <w:szCs w:val="24"/>
        </w:rPr>
      </w:pPr>
      <w:r>
        <w:rPr>
          <w:rFonts w:ascii="Times New Roman" w:hAnsi="Times New Roman" w:cs="Times New Roman"/>
          <w:sz w:val="24"/>
          <w:szCs w:val="24"/>
        </w:rPr>
        <w:t>Orp</w:t>
      </w:r>
      <w:r w:rsidR="0029393B">
        <w:rPr>
          <w:rFonts w:ascii="Times New Roman" w:hAnsi="Times New Roman" w:cs="Times New Roman"/>
          <w:sz w:val="24"/>
          <w:szCs w:val="24"/>
        </w:rPr>
        <w:t>ha</w:t>
      </w:r>
      <w:r>
        <w:rPr>
          <w:rFonts w:ascii="Times New Roman" w:hAnsi="Times New Roman" w:cs="Times New Roman"/>
          <w:sz w:val="24"/>
          <w:szCs w:val="24"/>
        </w:rPr>
        <w:t xml:space="preserve">nides, Athanasios. 2003. “Historical Monetary </w:t>
      </w:r>
      <w:r w:rsidR="00857B21">
        <w:rPr>
          <w:rFonts w:ascii="Times New Roman" w:hAnsi="Times New Roman" w:cs="Times New Roman"/>
          <w:sz w:val="24"/>
          <w:szCs w:val="24"/>
        </w:rPr>
        <w:t xml:space="preserve">Policy </w:t>
      </w:r>
      <w:r>
        <w:rPr>
          <w:rFonts w:ascii="Times New Roman" w:hAnsi="Times New Roman" w:cs="Times New Roman"/>
          <w:sz w:val="24"/>
          <w:szCs w:val="24"/>
        </w:rPr>
        <w:t xml:space="preserve">Analysis and the Taylor Rule.” Paper prepared </w:t>
      </w:r>
      <w:r w:rsidRPr="007E0F99">
        <w:rPr>
          <w:rFonts w:ascii="Times New Roman" w:hAnsi="Times New Roman" w:cs="Times New Roman"/>
          <w:sz w:val="24"/>
          <w:szCs w:val="24"/>
        </w:rPr>
        <w:t>for the Carnegie-Rochester Conference on Public Policy on the 10th anniversary of the Taylor rule</w:t>
      </w:r>
      <w:r>
        <w:rPr>
          <w:rFonts w:ascii="Times New Roman" w:hAnsi="Times New Roman" w:cs="Times New Roman"/>
          <w:sz w:val="24"/>
          <w:szCs w:val="24"/>
        </w:rPr>
        <w:t>.</w:t>
      </w:r>
      <w:r w:rsidR="0060728B">
        <w:rPr>
          <w:rFonts w:ascii="Times New Roman" w:hAnsi="Times New Roman" w:cs="Times New Roman"/>
          <w:sz w:val="24"/>
          <w:szCs w:val="24"/>
        </w:rPr>
        <w:t xml:space="preserve">  </w:t>
      </w:r>
      <w:r w:rsidR="00857B21">
        <w:rPr>
          <w:rFonts w:ascii="Times New Roman" w:hAnsi="Times New Roman" w:cs="Times New Roman"/>
          <w:sz w:val="24"/>
          <w:szCs w:val="24"/>
        </w:rPr>
        <w:t xml:space="preserve">Subsequently published in </w:t>
      </w:r>
      <w:r w:rsidR="00857B21">
        <w:rPr>
          <w:rFonts w:ascii="Times New Roman" w:hAnsi="Times New Roman" w:cs="Times New Roman"/>
          <w:sz w:val="24"/>
          <w:szCs w:val="24"/>
          <w:u w:val="single"/>
        </w:rPr>
        <w:t>Journal of Monetary Economics</w:t>
      </w:r>
      <w:r w:rsidR="00857B21">
        <w:rPr>
          <w:rFonts w:ascii="Times New Roman" w:hAnsi="Times New Roman" w:cs="Times New Roman"/>
          <w:sz w:val="24"/>
          <w:szCs w:val="24"/>
        </w:rPr>
        <w:t xml:space="preserve"> 50 (July 2003): 983-1022.</w:t>
      </w:r>
    </w:p>
    <w:p w14:paraId="7926E4CE" w14:textId="16A63282" w:rsidR="00E41E78" w:rsidRDefault="00E41E78" w:rsidP="00A277F0">
      <w:pPr>
        <w:spacing w:line="480" w:lineRule="auto"/>
        <w:ind w:hanging="576"/>
        <w:rPr>
          <w:rFonts w:ascii="Times New Roman" w:hAnsi="Times New Roman" w:cs="Times New Roman"/>
          <w:sz w:val="24"/>
          <w:szCs w:val="24"/>
        </w:rPr>
      </w:pPr>
      <w:r w:rsidRPr="00E41E78">
        <w:rPr>
          <w:rFonts w:ascii="Times New Roman" w:hAnsi="Times New Roman" w:cs="Times New Roman"/>
          <w:sz w:val="24"/>
          <w:szCs w:val="24"/>
        </w:rPr>
        <w:lastRenderedPageBreak/>
        <w:t>Orphanides, A</w:t>
      </w:r>
      <w:r>
        <w:rPr>
          <w:rFonts w:ascii="Times New Roman" w:hAnsi="Times New Roman" w:cs="Times New Roman"/>
          <w:sz w:val="24"/>
          <w:szCs w:val="24"/>
        </w:rPr>
        <w:t xml:space="preserve">thanasios and S. van Norden. </w:t>
      </w:r>
      <w:r w:rsidRPr="00E41E78">
        <w:rPr>
          <w:rFonts w:ascii="Times New Roman" w:hAnsi="Times New Roman" w:cs="Times New Roman"/>
          <w:sz w:val="24"/>
          <w:szCs w:val="24"/>
        </w:rPr>
        <w:t xml:space="preserve"> 2002. </w:t>
      </w:r>
      <w:r>
        <w:rPr>
          <w:rFonts w:ascii="Times New Roman" w:hAnsi="Times New Roman" w:cs="Times New Roman"/>
          <w:sz w:val="24"/>
          <w:szCs w:val="24"/>
        </w:rPr>
        <w:t>“</w:t>
      </w:r>
      <w:r w:rsidRPr="00E41E78">
        <w:rPr>
          <w:rFonts w:ascii="Times New Roman" w:hAnsi="Times New Roman" w:cs="Times New Roman"/>
          <w:sz w:val="24"/>
          <w:szCs w:val="24"/>
        </w:rPr>
        <w:t>The Unreliability of Output Gap Estimates in Real Time.</w:t>
      </w:r>
      <w:r>
        <w:rPr>
          <w:rFonts w:ascii="Times New Roman" w:hAnsi="Times New Roman" w:cs="Times New Roman"/>
          <w:sz w:val="24"/>
          <w:szCs w:val="24"/>
        </w:rPr>
        <w:t>”</w:t>
      </w:r>
      <w:r w:rsidRPr="00E41E78">
        <w:rPr>
          <w:rFonts w:ascii="Times New Roman" w:hAnsi="Times New Roman" w:cs="Times New Roman"/>
          <w:sz w:val="24"/>
          <w:szCs w:val="24"/>
        </w:rPr>
        <w:t xml:space="preserve"> </w:t>
      </w:r>
      <w:r w:rsidRPr="006112AF">
        <w:rPr>
          <w:rFonts w:ascii="Times New Roman" w:hAnsi="Times New Roman" w:cs="Times New Roman"/>
          <w:sz w:val="24"/>
          <w:szCs w:val="24"/>
          <w:u w:val="single"/>
        </w:rPr>
        <w:t>Review of Economics and Statistics</w:t>
      </w:r>
      <w:r w:rsidRPr="00E41E78">
        <w:rPr>
          <w:rFonts w:ascii="Times New Roman" w:hAnsi="Times New Roman" w:cs="Times New Roman"/>
          <w:sz w:val="24"/>
          <w:szCs w:val="24"/>
        </w:rPr>
        <w:t>, 84(4), 569-583, November.</w:t>
      </w:r>
    </w:p>
    <w:p w14:paraId="41DB13AB" w14:textId="4F46F6BA" w:rsidR="00764D9E" w:rsidRDefault="009A3085" w:rsidP="00764D9E">
      <w:pPr>
        <w:spacing w:line="480" w:lineRule="auto"/>
        <w:ind w:hanging="576"/>
        <w:rPr>
          <w:rFonts w:ascii="Times New Roman" w:hAnsi="Times New Roman" w:cs="Times New Roman"/>
          <w:sz w:val="24"/>
          <w:szCs w:val="24"/>
        </w:rPr>
      </w:pPr>
      <w:r>
        <w:rPr>
          <w:rFonts w:ascii="Times New Roman" w:hAnsi="Times New Roman" w:cs="Times New Roman"/>
          <w:sz w:val="24"/>
          <w:szCs w:val="24"/>
        </w:rPr>
        <w:t>Postel-Vinay, Natacha. 201</w:t>
      </w:r>
      <w:r w:rsidR="00764D9E">
        <w:rPr>
          <w:rFonts w:ascii="Times New Roman" w:hAnsi="Times New Roman" w:cs="Times New Roman"/>
          <w:sz w:val="24"/>
          <w:szCs w:val="24"/>
        </w:rPr>
        <w:t>4</w:t>
      </w:r>
      <w:r>
        <w:rPr>
          <w:rFonts w:ascii="Times New Roman" w:hAnsi="Times New Roman" w:cs="Times New Roman"/>
          <w:sz w:val="24"/>
          <w:szCs w:val="24"/>
        </w:rPr>
        <w:t>.</w:t>
      </w:r>
      <w:r w:rsidR="00764D9E">
        <w:rPr>
          <w:rFonts w:ascii="Times New Roman" w:hAnsi="Times New Roman" w:cs="Times New Roman"/>
          <w:sz w:val="24"/>
          <w:szCs w:val="24"/>
        </w:rPr>
        <w:t xml:space="preserve"> “Debt Diffusion in 1920s America: Lighting the Fuse of a Mortgage Crisis.” (working paper).</w:t>
      </w:r>
      <w:r>
        <w:rPr>
          <w:rFonts w:ascii="Times New Roman" w:hAnsi="Times New Roman" w:cs="Times New Roman"/>
          <w:sz w:val="24"/>
          <w:szCs w:val="24"/>
        </w:rPr>
        <w:t xml:space="preserve"> </w:t>
      </w:r>
    </w:p>
    <w:p w14:paraId="5A076002" w14:textId="6D8B84CF" w:rsidR="005E13B0" w:rsidRPr="009F3FFE" w:rsidRDefault="00E4671B" w:rsidP="00764D9E">
      <w:pPr>
        <w:spacing w:line="480" w:lineRule="auto"/>
        <w:ind w:hanging="576"/>
        <w:rPr>
          <w:rFonts w:ascii="Times New Roman" w:hAnsi="Times New Roman" w:cs="Times New Roman"/>
          <w:sz w:val="24"/>
          <w:szCs w:val="24"/>
        </w:rPr>
      </w:pPr>
      <w:r w:rsidRPr="00A96D6D">
        <w:rPr>
          <w:rFonts w:ascii="Times New Roman" w:hAnsi="Times New Roman" w:cs="Times New Roman"/>
          <w:sz w:val="24"/>
          <w:szCs w:val="24"/>
        </w:rPr>
        <w:t>Rhode</w:t>
      </w:r>
      <w:r w:rsidRPr="009F3FFE">
        <w:rPr>
          <w:rFonts w:ascii="Times New Roman" w:hAnsi="Times New Roman" w:cs="Times New Roman"/>
          <w:sz w:val="24"/>
          <w:szCs w:val="24"/>
        </w:rPr>
        <w:t>, Paul W.</w:t>
      </w:r>
      <w:r w:rsidR="005E13B0" w:rsidRPr="009F3FFE">
        <w:rPr>
          <w:rFonts w:ascii="Times New Roman" w:hAnsi="Times New Roman" w:cs="Times New Roman"/>
          <w:sz w:val="24"/>
          <w:szCs w:val="24"/>
        </w:rPr>
        <w:t xml:space="preserve"> and Richard Sutch</w:t>
      </w:r>
      <w:r w:rsidR="00F64450" w:rsidRPr="009F3FFE">
        <w:rPr>
          <w:rFonts w:ascii="Times New Roman" w:hAnsi="Times New Roman" w:cs="Times New Roman"/>
          <w:sz w:val="24"/>
          <w:szCs w:val="24"/>
        </w:rPr>
        <w:t xml:space="preserve">. 2006.  “Estimates of National Product before 1929.”  In </w:t>
      </w:r>
      <w:r w:rsidRPr="009F3FFE">
        <w:rPr>
          <w:rFonts w:ascii="Times New Roman" w:hAnsi="Times New Roman" w:cs="Times New Roman"/>
          <w:sz w:val="24"/>
          <w:szCs w:val="24"/>
        </w:rPr>
        <w:t xml:space="preserve">chapter Ca of </w:t>
      </w:r>
      <w:r w:rsidRPr="00FE5621">
        <w:rPr>
          <w:rFonts w:ascii="Times New Roman" w:hAnsi="Times New Roman" w:cs="Times New Roman"/>
          <w:iCs/>
          <w:sz w:val="24"/>
          <w:szCs w:val="24"/>
          <w:u w:val="single"/>
        </w:rPr>
        <w:t>Historical Statistics of the United States, Earliest Times to the Present: Millennial Edition</w:t>
      </w:r>
      <w:r w:rsidRPr="009F3FFE">
        <w:rPr>
          <w:rFonts w:ascii="Times New Roman" w:hAnsi="Times New Roman" w:cs="Times New Roman"/>
          <w:i/>
          <w:iCs/>
          <w:sz w:val="24"/>
          <w:szCs w:val="24"/>
        </w:rPr>
        <w:t>,</w:t>
      </w:r>
      <w:r w:rsidRPr="009F3FFE">
        <w:rPr>
          <w:rFonts w:ascii="Times New Roman" w:hAnsi="Times New Roman" w:cs="Times New Roman"/>
          <w:sz w:val="24"/>
          <w:szCs w:val="24"/>
        </w:rPr>
        <w:t xml:space="preserve"> edited by Susan B. Carter, Scott Sigmund Gartner, Michael R. Haines, Alan L. Olmstead, Richard Sutch, and Gavin Wright. New York: Cambridge University Press.</w:t>
      </w:r>
    </w:p>
    <w:p w14:paraId="31C086FF" w14:textId="25CA57C3" w:rsidR="004E03A1" w:rsidRPr="009F3FFE" w:rsidRDefault="004E03A1" w:rsidP="00A277F0">
      <w:pPr>
        <w:spacing w:after="0" w:line="480" w:lineRule="auto"/>
        <w:ind w:hanging="576"/>
        <w:rPr>
          <w:rFonts w:ascii="Times New Roman" w:eastAsia="Times New Roman" w:hAnsi="Times New Roman" w:cs="Times New Roman"/>
          <w:sz w:val="24"/>
          <w:szCs w:val="24"/>
        </w:rPr>
      </w:pPr>
      <w:r w:rsidRPr="009F3FFE">
        <w:rPr>
          <w:rFonts w:ascii="Times New Roman" w:eastAsia="Times New Roman" w:hAnsi="Times New Roman" w:cs="Times New Roman"/>
          <w:sz w:val="24"/>
          <w:szCs w:val="24"/>
        </w:rPr>
        <w:t>Romer, Christina D. 1988. “World War I and the Postwar Depression: A Reinterpretation Based on Alternative Estimates of GNP.”  </w:t>
      </w:r>
      <w:r w:rsidRPr="00312BE8">
        <w:rPr>
          <w:rFonts w:ascii="Times New Roman" w:eastAsia="Times New Roman" w:hAnsi="Times New Roman" w:cs="Times New Roman"/>
          <w:iCs/>
          <w:sz w:val="24"/>
          <w:szCs w:val="24"/>
          <w:u w:val="single"/>
        </w:rPr>
        <w:t>Journal of Monetary Economics</w:t>
      </w:r>
      <w:r w:rsidRPr="00312BE8">
        <w:rPr>
          <w:rFonts w:ascii="Times New Roman" w:eastAsia="Times New Roman" w:hAnsi="Times New Roman" w:cs="Times New Roman"/>
          <w:sz w:val="24"/>
          <w:szCs w:val="24"/>
          <w:u w:val="single"/>
        </w:rPr>
        <w:t xml:space="preserve"> </w:t>
      </w:r>
      <w:r w:rsidRPr="009F3FFE">
        <w:rPr>
          <w:rFonts w:ascii="Times New Roman" w:eastAsia="Times New Roman" w:hAnsi="Times New Roman" w:cs="Times New Roman"/>
          <w:sz w:val="24"/>
          <w:szCs w:val="24"/>
        </w:rPr>
        <w:t>22 (July): 91–115.</w:t>
      </w:r>
    </w:p>
    <w:p w14:paraId="0D76C819" w14:textId="77777777" w:rsidR="009409E6" w:rsidRDefault="004E03A1" w:rsidP="009409E6">
      <w:pPr>
        <w:spacing w:line="480" w:lineRule="auto"/>
        <w:ind w:hanging="576"/>
        <w:rPr>
          <w:rFonts w:ascii="Times New Roman" w:eastAsia="Times New Roman" w:hAnsi="Times New Roman" w:cs="Times New Roman"/>
          <w:sz w:val="24"/>
          <w:szCs w:val="24"/>
        </w:rPr>
      </w:pPr>
      <w:r w:rsidRPr="009F3FFE">
        <w:rPr>
          <w:rFonts w:ascii="Times New Roman" w:eastAsia="Times New Roman" w:hAnsi="Times New Roman" w:cs="Times New Roman"/>
          <w:sz w:val="24"/>
          <w:szCs w:val="24"/>
        </w:rPr>
        <w:t>Romer, Christina D. 1989. “The Prewar Business Cycle Reconsidered: New Estimates of Gross National Product, 1869–1908.”  </w:t>
      </w:r>
      <w:r w:rsidRPr="00312BE8">
        <w:rPr>
          <w:rFonts w:ascii="Times New Roman" w:eastAsia="Times New Roman" w:hAnsi="Times New Roman" w:cs="Times New Roman"/>
          <w:iCs/>
          <w:sz w:val="24"/>
          <w:szCs w:val="24"/>
          <w:u w:val="single"/>
        </w:rPr>
        <w:t>Journal of Political Economy</w:t>
      </w:r>
      <w:r w:rsidRPr="00312BE8">
        <w:rPr>
          <w:rFonts w:ascii="Times New Roman" w:eastAsia="Times New Roman" w:hAnsi="Times New Roman" w:cs="Times New Roman"/>
          <w:sz w:val="24"/>
          <w:szCs w:val="24"/>
          <w:u w:val="single"/>
        </w:rPr>
        <w:t xml:space="preserve"> </w:t>
      </w:r>
      <w:r w:rsidRPr="009F3FFE">
        <w:rPr>
          <w:rFonts w:ascii="Times New Roman" w:eastAsia="Times New Roman" w:hAnsi="Times New Roman" w:cs="Times New Roman"/>
          <w:sz w:val="24"/>
          <w:szCs w:val="24"/>
        </w:rPr>
        <w:t>97 (February): 1–37.</w:t>
      </w:r>
    </w:p>
    <w:p w14:paraId="131C6EAE" w14:textId="20E70DE6" w:rsidR="009409E6" w:rsidRPr="009409E6" w:rsidRDefault="009409E6" w:rsidP="009409E6">
      <w:pPr>
        <w:spacing w:line="480" w:lineRule="auto"/>
        <w:ind w:hanging="576"/>
        <w:rPr>
          <w:rFonts w:ascii="Times New Roman" w:eastAsia="Times New Roman" w:hAnsi="Times New Roman" w:cs="Times New Roman"/>
          <w:sz w:val="24"/>
          <w:szCs w:val="24"/>
        </w:rPr>
      </w:pPr>
      <w:r>
        <w:rPr>
          <w:rFonts w:ascii="Times New Roman" w:hAnsi="Times New Roman" w:cs="Times New Roman"/>
          <w:sz w:val="24"/>
          <w:szCs w:val="24"/>
        </w:rPr>
        <w:t xml:space="preserve">Romer, Christina D. 1994. “Remeasuring Business Cycles.” </w:t>
      </w:r>
      <w:r>
        <w:rPr>
          <w:rFonts w:ascii="Times New Roman" w:hAnsi="Times New Roman" w:cs="Times New Roman"/>
          <w:sz w:val="24"/>
          <w:szCs w:val="24"/>
          <w:u w:val="single"/>
        </w:rPr>
        <w:t>The Journal of Economic History</w:t>
      </w:r>
      <w:r>
        <w:rPr>
          <w:rFonts w:ascii="Times New Roman" w:hAnsi="Times New Roman" w:cs="Times New Roman"/>
          <w:sz w:val="24"/>
          <w:szCs w:val="24"/>
        </w:rPr>
        <w:t xml:space="preserve"> 54 (September): 573-609.</w:t>
      </w:r>
    </w:p>
    <w:p w14:paraId="0F036705" w14:textId="11AAE67F" w:rsidR="00FA7656" w:rsidRDefault="00FA7656" w:rsidP="00A277F0">
      <w:pPr>
        <w:spacing w:line="480" w:lineRule="auto"/>
        <w:ind w:hanging="576"/>
        <w:jc w:val="both"/>
      </w:pPr>
      <w:r>
        <w:rPr>
          <w:rFonts w:ascii="Times New Roman" w:hAnsi="Times New Roman" w:cs="Times New Roman"/>
          <w:sz w:val="24"/>
          <w:szCs w:val="24"/>
        </w:rPr>
        <w:t>Schwert, G. William and Charles Plosser. 1979. “</w:t>
      </w:r>
      <w:r w:rsidRPr="00FE4CE3">
        <w:rPr>
          <w:rFonts w:ascii="Times New Roman" w:hAnsi="Times New Roman" w:cs="Times New Roman"/>
          <w:sz w:val="24"/>
          <w:szCs w:val="24"/>
        </w:rPr>
        <w:t xml:space="preserve">Potential GNP: Its Measurement and Significance -- A Dissenting Opinion.” Carnegie-Rochester Conference Series on Public Policy (supplement to </w:t>
      </w:r>
      <w:r w:rsidRPr="00F56339">
        <w:rPr>
          <w:rFonts w:ascii="Times New Roman" w:hAnsi="Times New Roman" w:cs="Times New Roman"/>
          <w:sz w:val="24"/>
          <w:szCs w:val="24"/>
          <w:u w:val="single"/>
        </w:rPr>
        <w:t>Journal of Monetary Economics</w:t>
      </w:r>
      <w:r w:rsidRPr="00FE4CE3">
        <w:rPr>
          <w:rFonts w:ascii="Times New Roman" w:hAnsi="Times New Roman" w:cs="Times New Roman"/>
          <w:sz w:val="24"/>
          <w:szCs w:val="24"/>
        </w:rPr>
        <w:t>), 10 (Spring 1979): 179-186.</w:t>
      </w:r>
    </w:p>
    <w:p w14:paraId="629D2C21" w14:textId="1093DCCC" w:rsidR="00A96D6D" w:rsidRDefault="00A96D6D" w:rsidP="00A277F0">
      <w:pPr>
        <w:spacing w:line="480" w:lineRule="auto"/>
        <w:ind w:hanging="576"/>
        <w:jc w:val="both"/>
        <w:rPr>
          <w:rFonts w:ascii="Times New Roman" w:hAnsi="Times New Roman" w:cs="Times New Roman"/>
          <w:sz w:val="24"/>
          <w:szCs w:val="24"/>
        </w:rPr>
      </w:pPr>
      <w:r>
        <w:rPr>
          <w:rFonts w:ascii="Times New Roman" w:hAnsi="Times New Roman" w:cs="Times New Roman"/>
          <w:sz w:val="24"/>
          <w:szCs w:val="24"/>
        </w:rPr>
        <w:t>S</w:t>
      </w:r>
      <w:r w:rsidR="00B81051">
        <w:rPr>
          <w:rFonts w:ascii="Times New Roman" w:hAnsi="Times New Roman" w:cs="Times New Roman"/>
          <w:sz w:val="24"/>
          <w:szCs w:val="24"/>
        </w:rPr>
        <w:t xml:space="preserve">haw, William H. 1947. </w:t>
      </w:r>
      <w:r w:rsidR="00B81051">
        <w:rPr>
          <w:rFonts w:ascii="Times New Roman" w:hAnsi="Times New Roman" w:cs="Times New Roman"/>
          <w:sz w:val="24"/>
          <w:szCs w:val="24"/>
          <w:u w:val="single"/>
        </w:rPr>
        <w:t>The Value of Commodity Out</w:t>
      </w:r>
      <w:r w:rsidR="00312BE8">
        <w:rPr>
          <w:rFonts w:ascii="Times New Roman" w:hAnsi="Times New Roman" w:cs="Times New Roman"/>
          <w:sz w:val="24"/>
          <w:szCs w:val="24"/>
          <w:u w:val="single"/>
        </w:rPr>
        <w:t>put s</w:t>
      </w:r>
      <w:r w:rsidR="00B81051">
        <w:rPr>
          <w:rFonts w:ascii="Times New Roman" w:hAnsi="Times New Roman" w:cs="Times New Roman"/>
          <w:sz w:val="24"/>
          <w:szCs w:val="24"/>
          <w:u w:val="single"/>
        </w:rPr>
        <w:t>ince 1869</w:t>
      </w:r>
      <w:r w:rsidR="00B81051">
        <w:rPr>
          <w:rFonts w:ascii="Times New Roman" w:hAnsi="Times New Roman" w:cs="Times New Roman"/>
          <w:sz w:val="24"/>
          <w:szCs w:val="24"/>
        </w:rPr>
        <w:t>. New York: National Bureau of Economic Research.</w:t>
      </w:r>
    </w:p>
    <w:p w14:paraId="4D996B95" w14:textId="77777777" w:rsidR="00767ABB" w:rsidRDefault="00767ABB" w:rsidP="00FE5621">
      <w:pPr>
        <w:spacing w:line="480" w:lineRule="auto"/>
        <w:ind w:hanging="576"/>
        <w:rPr>
          <w:rFonts w:ascii="Times New Roman" w:hAnsi="Times New Roman" w:cs="Times New Roman"/>
          <w:sz w:val="24"/>
          <w:szCs w:val="24"/>
        </w:rPr>
      </w:pPr>
      <w:r>
        <w:rPr>
          <w:rFonts w:ascii="Times New Roman" w:hAnsi="Times New Roman" w:cs="Times New Roman"/>
          <w:sz w:val="24"/>
          <w:szCs w:val="24"/>
        </w:rPr>
        <w:t xml:space="preserve">Shiller, Robert. 2007. “Low Interest Rates and High Asset Prices: An Interpretation in Terms of Changing Popular Economic Models.” </w:t>
      </w:r>
      <w:r>
        <w:rPr>
          <w:rFonts w:ascii="Times New Roman" w:hAnsi="Times New Roman" w:cs="Times New Roman"/>
          <w:sz w:val="24"/>
          <w:szCs w:val="24"/>
          <w:u w:val="single"/>
        </w:rPr>
        <w:t xml:space="preserve">Brookings Papers on Economic </w:t>
      </w:r>
      <w:r w:rsidRPr="00767ABB">
        <w:rPr>
          <w:rFonts w:ascii="Times New Roman" w:hAnsi="Times New Roman" w:cs="Times New Roman"/>
          <w:sz w:val="24"/>
          <w:szCs w:val="24"/>
          <w:u w:val="single"/>
        </w:rPr>
        <w:t>Activity</w:t>
      </w:r>
      <w:r>
        <w:rPr>
          <w:rFonts w:ascii="Times New Roman" w:hAnsi="Times New Roman" w:cs="Times New Roman"/>
          <w:sz w:val="24"/>
          <w:szCs w:val="24"/>
        </w:rPr>
        <w:t xml:space="preserve"> 2: 111-132.</w:t>
      </w:r>
    </w:p>
    <w:p w14:paraId="23A6D20C" w14:textId="5576AB8D" w:rsidR="00FE5621" w:rsidRPr="00FE5621" w:rsidRDefault="00FE5621" w:rsidP="00FE5621">
      <w:pPr>
        <w:spacing w:line="480" w:lineRule="auto"/>
        <w:ind w:hanging="576"/>
        <w:rPr>
          <w:rFonts w:ascii="Times New Roman" w:hAnsi="Times New Roman" w:cs="Times New Roman"/>
          <w:sz w:val="24"/>
          <w:szCs w:val="24"/>
        </w:rPr>
      </w:pPr>
      <w:r w:rsidRPr="00767ABB">
        <w:rPr>
          <w:rFonts w:ascii="Times New Roman" w:hAnsi="Times New Roman" w:cs="Times New Roman"/>
          <w:sz w:val="24"/>
          <w:szCs w:val="24"/>
        </w:rPr>
        <w:lastRenderedPageBreak/>
        <w:t>Sutch</w:t>
      </w:r>
      <w:r w:rsidRPr="00FE5621">
        <w:rPr>
          <w:rFonts w:ascii="Times New Roman" w:hAnsi="Times New Roman" w:cs="Times New Roman"/>
          <w:sz w:val="24"/>
          <w:szCs w:val="24"/>
        </w:rPr>
        <w:t>, Richard</w:t>
      </w:r>
      <w:r w:rsidR="00F13286">
        <w:rPr>
          <w:rFonts w:ascii="Times New Roman" w:hAnsi="Times New Roman" w:cs="Times New Roman"/>
          <w:sz w:val="24"/>
          <w:szCs w:val="24"/>
        </w:rPr>
        <w:t>.</w:t>
      </w:r>
      <w:r w:rsidRPr="00FE5621">
        <w:rPr>
          <w:rFonts w:ascii="Times New Roman" w:hAnsi="Times New Roman" w:cs="Times New Roman"/>
          <w:sz w:val="24"/>
          <w:szCs w:val="24"/>
        </w:rPr>
        <w:t xml:space="preserve"> “Economic Fluctuations, Recessions,</w:t>
      </w:r>
      <w:r>
        <w:rPr>
          <w:rFonts w:ascii="Times New Roman" w:hAnsi="Times New Roman" w:cs="Times New Roman"/>
          <w:sz w:val="24"/>
          <w:szCs w:val="24"/>
        </w:rPr>
        <w:t xml:space="preserve"> </w:t>
      </w:r>
      <w:r w:rsidRPr="00FE5621">
        <w:rPr>
          <w:rFonts w:ascii="Times New Roman" w:hAnsi="Times New Roman" w:cs="Times New Roman"/>
          <w:sz w:val="24"/>
          <w:szCs w:val="24"/>
        </w:rPr>
        <w:t xml:space="preserve">and Depressions” in chapter Cb of </w:t>
      </w:r>
      <w:r w:rsidRPr="00FE5621">
        <w:rPr>
          <w:rFonts w:ascii="Times New Roman" w:hAnsi="Times New Roman" w:cs="Times New Roman"/>
          <w:iCs/>
          <w:sz w:val="24"/>
          <w:szCs w:val="24"/>
          <w:u w:val="single"/>
        </w:rPr>
        <w:t>Historical Statistics of the United States, Earliest Times to the Present: Millennial Edition</w:t>
      </w:r>
      <w:r w:rsidRPr="00FE5621">
        <w:rPr>
          <w:rFonts w:ascii="Times New Roman" w:hAnsi="Times New Roman" w:cs="Times New Roman"/>
          <w:i/>
          <w:iCs/>
          <w:sz w:val="24"/>
          <w:szCs w:val="24"/>
        </w:rPr>
        <w:t>,</w:t>
      </w:r>
      <w:r w:rsidRPr="00FE5621">
        <w:rPr>
          <w:rFonts w:ascii="Times New Roman" w:hAnsi="Times New Roman" w:cs="Times New Roman"/>
          <w:sz w:val="24"/>
          <w:szCs w:val="24"/>
        </w:rPr>
        <w:t xml:space="preserve"> edited by Susan B. Carter, Scott Sigmund Gartner, Michael R. Haines, Alan L. Olmstead, Richard Sutch, and Gavin Wright. New York: Cambridge University Press, 2006.</w:t>
      </w:r>
    </w:p>
    <w:p w14:paraId="0921C7B6" w14:textId="51D4E170" w:rsidR="00A277F0" w:rsidRDefault="00312BE8" w:rsidP="00A277F0">
      <w:pPr>
        <w:spacing w:line="480" w:lineRule="auto"/>
        <w:ind w:hanging="576"/>
        <w:jc w:val="both"/>
        <w:rPr>
          <w:rFonts w:ascii="Times New Roman" w:hAnsi="Times New Roman" w:cs="Times New Roman"/>
          <w:sz w:val="24"/>
          <w:szCs w:val="24"/>
        </w:rPr>
      </w:pPr>
      <w:r>
        <w:rPr>
          <w:rFonts w:ascii="Times New Roman" w:hAnsi="Times New Roman" w:cs="Times New Roman"/>
          <w:sz w:val="24"/>
          <w:szCs w:val="24"/>
        </w:rPr>
        <w:t>Taylor, John B.</w:t>
      </w:r>
      <w:r w:rsidR="00706422" w:rsidRPr="009F3FFE">
        <w:rPr>
          <w:rFonts w:ascii="Times New Roman" w:hAnsi="Times New Roman" w:cs="Times New Roman"/>
          <w:sz w:val="24"/>
          <w:szCs w:val="24"/>
        </w:rPr>
        <w:t xml:space="preserve"> 1993. “Discretion vs. Policy Rules in Practice.” </w:t>
      </w:r>
      <w:r w:rsidR="00706422" w:rsidRPr="009F3FFE">
        <w:rPr>
          <w:rFonts w:ascii="Times New Roman" w:hAnsi="Times New Roman" w:cs="Times New Roman"/>
          <w:sz w:val="24"/>
          <w:szCs w:val="24"/>
          <w:u w:val="single"/>
        </w:rPr>
        <w:t>Carnegie-Rochester Conference Series on Public Policy</w:t>
      </w:r>
      <w:r w:rsidR="00A277F0">
        <w:rPr>
          <w:rFonts w:ascii="Times New Roman" w:hAnsi="Times New Roman" w:cs="Times New Roman"/>
          <w:sz w:val="24"/>
          <w:szCs w:val="24"/>
        </w:rPr>
        <w:t xml:space="preserve"> 39: 195-214.</w:t>
      </w:r>
    </w:p>
    <w:p w14:paraId="4601D487" w14:textId="2174D72C" w:rsidR="00FA3F66" w:rsidRDefault="00FA3F66" w:rsidP="00724FC7">
      <w:pPr>
        <w:spacing w:line="480" w:lineRule="auto"/>
        <w:ind w:hanging="576"/>
        <w:rPr>
          <w:rFonts w:ascii="Times New Roman" w:hAnsi="Times New Roman" w:cs="Times New Roman"/>
          <w:sz w:val="24"/>
          <w:szCs w:val="24"/>
        </w:rPr>
      </w:pPr>
      <w:r>
        <w:rPr>
          <w:rFonts w:ascii="Times New Roman" w:hAnsi="Times New Roman" w:cs="Times New Roman"/>
          <w:sz w:val="24"/>
          <w:szCs w:val="24"/>
        </w:rPr>
        <w:t xml:space="preserve">Taylor, John B. 1999a. “A Historical Analysis of Monetary Policy Rules.” In </w:t>
      </w:r>
      <w:r>
        <w:rPr>
          <w:rFonts w:ascii="Times New Roman" w:hAnsi="Times New Roman" w:cs="Times New Roman"/>
          <w:sz w:val="24"/>
          <w:szCs w:val="24"/>
          <w:u w:val="single"/>
        </w:rPr>
        <w:t xml:space="preserve">Monetary Policy </w:t>
      </w:r>
      <w:r w:rsidRPr="00F56339">
        <w:rPr>
          <w:rFonts w:ascii="Times New Roman" w:hAnsi="Times New Roman" w:cs="Times New Roman"/>
          <w:sz w:val="24"/>
          <w:szCs w:val="24"/>
          <w:u w:val="single"/>
        </w:rPr>
        <w:t>Rules</w:t>
      </w:r>
      <w:r>
        <w:rPr>
          <w:rFonts w:ascii="Times New Roman" w:hAnsi="Times New Roman" w:cs="Times New Roman"/>
          <w:sz w:val="24"/>
          <w:szCs w:val="24"/>
        </w:rPr>
        <w:t>, ed. John B. Taylor.  Chicag</w:t>
      </w:r>
      <w:r w:rsidR="0047312E">
        <w:rPr>
          <w:rFonts w:ascii="Times New Roman" w:hAnsi="Times New Roman" w:cs="Times New Roman"/>
          <w:sz w:val="24"/>
          <w:szCs w:val="24"/>
        </w:rPr>
        <w:t>o:  University of Chicago Press, pp. 319-48.</w:t>
      </w:r>
    </w:p>
    <w:p w14:paraId="69429610" w14:textId="0B4A8CA2" w:rsidR="00724FC7" w:rsidRPr="00724FC7" w:rsidRDefault="00724FC7" w:rsidP="00724FC7">
      <w:pPr>
        <w:spacing w:line="480" w:lineRule="auto"/>
        <w:ind w:hanging="576"/>
        <w:rPr>
          <w:rFonts w:ascii="Times New Roman" w:hAnsi="Times New Roman" w:cs="Times New Roman"/>
          <w:sz w:val="24"/>
          <w:szCs w:val="24"/>
        </w:rPr>
      </w:pPr>
      <w:r w:rsidRPr="00F56339">
        <w:rPr>
          <w:rFonts w:ascii="Times New Roman" w:hAnsi="Times New Roman" w:cs="Times New Roman"/>
          <w:sz w:val="24"/>
          <w:szCs w:val="24"/>
        </w:rPr>
        <w:t>Taylor</w:t>
      </w:r>
      <w:r w:rsidRPr="00724FC7">
        <w:rPr>
          <w:rFonts w:ascii="Times New Roman" w:hAnsi="Times New Roman" w:cs="Times New Roman"/>
          <w:sz w:val="24"/>
          <w:szCs w:val="24"/>
        </w:rPr>
        <w:t>, John B. 1999</w:t>
      </w:r>
      <w:r w:rsidR="00FA3F66">
        <w:rPr>
          <w:rFonts w:ascii="Times New Roman" w:hAnsi="Times New Roman" w:cs="Times New Roman"/>
          <w:sz w:val="24"/>
          <w:szCs w:val="24"/>
        </w:rPr>
        <w:t>b</w:t>
      </w:r>
      <w:r w:rsidRPr="00724FC7">
        <w:rPr>
          <w:rFonts w:ascii="Times New Roman" w:hAnsi="Times New Roman" w:cs="Times New Roman"/>
          <w:sz w:val="24"/>
          <w:szCs w:val="24"/>
        </w:rPr>
        <w:t xml:space="preserve">. “The Robustness and Efficiency of Monetary Policy Rules as Guidelines for Interest Rate Setting by the European Central Bank.” </w:t>
      </w:r>
      <w:r w:rsidRPr="00724FC7">
        <w:rPr>
          <w:rStyle w:val="Emphasis"/>
          <w:rFonts w:ascii="Times New Roman" w:hAnsi="Times New Roman" w:cs="Times New Roman"/>
          <w:i w:val="0"/>
          <w:sz w:val="24"/>
          <w:szCs w:val="24"/>
          <w:u w:val="single"/>
        </w:rPr>
        <w:t>Journal of Monetary Economics</w:t>
      </w:r>
      <w:r w:rsidRPr="00724FC7">
        <w:rPr>
          <w:rFonts w:ascii="Times New Roman" w:hAnsi="Times New Roman" w:cs="Times New Roman"/>
          <w:sz w:val="24"/>
          <w:szCs w:val="24"/>
        </w:rPr>
        <w:t xml:space="preserve"> 43(3): 655-679.</w:t>
      </w:r>
    </w:p>
    <w:p w14:paraId="7931AD29" w14:textId="2836443F" w:rsidR="00312BE8" w:rsidRDefault="00312BE8" w:rsidP="00916CD1">
      <w:pPr>
        <w:spacing w:line="480" w:lineRule="auto"/>
        <w:ind w:hanging="576"/>
        <w:rPr>
          <w:rFonts w:ascii="Times New Roman" w:hAnsi="Times New Roman" w:cs="Times New Roman"/>
          <w:sz w:val="24"/>
          <w:szCs w:val="24"/>
        </w:rPr>
      </w:pPr>
      <w:r>
        <w:rPr>
          <w:rFonts w:ascii="Times New Roman" w:hAnsi="Times New Roman" w:cs="Times New Roman"/>
          <w:sz w:val="24"/>
          <w:szCs w:val="24"/>
        </w:rPr>
        <w:t xml:space="preserve">Taylor, John  B. 2012. </w:t>
      </w:r>
      <w:r>
        <w:rPr>
          <w:rFonts w:ascii="Times New Roman" w:hAnsi="Times New Roman" w:cs="Times New Roman"/>
          <w:sz w:val="24"/>
          <w:szCs w:val="24"/>
          <w:u w:val="single"/>
        </w:rPr>
        <w:t>First Principles</w:t>
      </w:r>
      <w:r>
        <w:rPr>
          <w:rFonts w:ascii="Times New Roman" w:hAnsi="Times New Roman" w:cs="Times New Roman"/>
          <w:sz w:val="24"/>
          <w:szCs w:val="24"/>
        </w:rPr>
        <w:t>.  New York W.W. Norton.</w:t>
      </w:r>
    </w:p>
    <w:p w14:paraId="2DFECF2F" w14:textId="6BB6A155" w:rsidR="00FD2890" w:rsidRDefault="00FD2890" w:rsidP="00916CD1">
      <w:pPr>
        <w:spacing w:line="480" w:lineRule="auto"/>
        <w:ind w:hanging="576"/>
        <w:rPr>
          <w:rFonts w:ascii="Times New Roman" w:hAnsi="Times New Roman" w:cs="Times New Roman"/>
          <w:sz w:val="24"/>
          <w:szCs w:val="24"/>
        </w:rPr>
      </w:pPr>
      <w:r>
        <w:rPr>
          <w:rFonts w:ascii="Times New Roman" w:hAnsi="Times New Roman" w:cs="Times New Roman"/>
          <w:sz w:val="24"/>
          <w:szCs w:val="24"/>
        </w:rPr>
        <w:t>Tobin, James. 1997. “Can we Grow Faster?”  Cowles Foundation Discussion Paper No. 1149.</w:t>
      </w:r>
    </w:p>
    <w:p w14:paraId="5EA31A7D" w14:textId="235EF9F2" w:rsidR="009465DB" w:rsidRDefault="009465DB" w:rsidP="00916CD1">
      <w:pPr>
        <w:spacing w:line="480" w:lineRule="auto"/>
        <w:ind w:hanging="576"/>
        <w:rPr>
          <w:rFonts w:ascii="Times New Roman" w:hAnsi="Times New Roman" w:cs="Times New Roman"/>
          <w:sz w:val="24"/>
          <w:szCs w:val="24"/>
        </w:rPr>
      </w:pPr>
      <w:r w:rsidRPr="009F3FFE">
        <w:rPr>
          <w:rFonts w:ascii="Times New Roman" w:hAnsi="Times New Roman" w:cs="Times New Roman"/>
          <w:sz w:val="24"/>
          <w:szCs w:val="24"/>
        </w:rPr>
        <w:t xml:space="preserve">Weir, David. 1986. “The Reliability of Historical Macroeconomic Data for Comparing Cyclical Stability.” </w:t>
      </w:r>
      <w:r w:rsidRPr="009F3FFE">
        <w:rPr>
          <w:rFonts w:ascii="Times New Roman" w:hAnsi="Times New Roman" w:cs="Times New Roman"/>
          <w:sz w:val="24"/>
          <w:szCs w:val="24"/>
          <w:u w:val="single"/>
        </w:rPr>
        <w:t>Journal of Economic History</w:t>
      </w:r>
      <w:r w:rsidRPr="009F3FFE">
        <w:rPr>
          <w:rFonts w:ascii="Times New Roman" w:hAnsi="Times New Roman" w:cs="Times New Roman"/>
          <w:sz w:val="24"/>
          <w:szCs w:val="24"/>
        </w:rPr>
        <w:t xml:space="preserve"> 46: 353-365.</w:t>
      </w:r>
    </w:p>
    <w:p w14:paraId="77B761AF" w14:textId="44A031F7" w:rsidR="00334DEC" w:rsidRPr="009F3FFE" w:rsidRDefault="00334DEC">
      <w:pPr>
        <w:spacing w:line="480" w:lineRule="auto"/>
        <w:ind w:hanging="576"/>
        <w:rPr>
          <w:rFonts w:ascii="Times New Roman" w:hAnsi="Times New Roman" w:cs="Times New Roman"/>
          <w:sz w:val="24"/>
          <w:szCs w:val="24"/>
        </w:rPr>
      </w:pPr>
      <w:r>
        <w:rPr>
          <w:rFonts w:ascii="Times New Roman" w:hAnsi="Times New Roman" w:cs="Times New Roman"/>
          <w:sz w:val="24"/>
          <w:szCs w:val="24"/>
        </w:rPr>
        <w:t>White, Eugene. 2014. “Lessons from the Great American Real Estate Boom and Bust of the 1920s” in Eugene N. Whi</w:t>
      </w:r>
      <w:r w:rsidR="003144FD">
        <w:rPr>
          <w:rFonts w:ascii="Times New Roman" w:hAnsi="Times New Roman" w:cs="Times New Roman"/>
          <w:sz w:val="24"/>
          <w:szCs w:val="24"/>
        </w:rPr>
        <w:t>t</w:t>
      </w:r>
      <w:r>
        <w:rPr>
          <w:rFonts w:ascii="Times New Roman" w:hAnsi="Times New Roman" w:cs="Times New Roman"/>
          <w:sz w:val="24"/>
          <w:szCs w:val="24"/>
        </w:rPr>
        <w:t xml:space="preserve">e, Kenneth Snowden, and Price Fishback, eds., </w:t>
      </w:r>
      <w:r>
        <w:rPr>
          <w:rFonts w:ascii="Times New Roman" w:hAnsi="Times New Roman" w:cs="Times New Roman"/>
          <w:sz w:val="24"/>
          <w:szCs w:val="24"/>
          <w:u w:val="single"/>
        </w:rPr>
        <w:t>Housing and Mortgage Markets in Historical Perspective</w:t>
      </w:r>
      <w:r>
        <w:rPr>
          <w:rFonts w:ascii="Times New Roman" w:hAnsi="Times New Roman" w:cs="Times New Roman"/>
          <w:sz w:val="24"/>
          <w:szCs w:val="24"/>
        </w:rPr>
        <w:t>. Chicago:  University of Chicago Press for the NBER. Pp. 115-158.</w:t>
      </w:r>
    </w:p>
    <w:sectPr w:rsidR="00334DEC" w:rsidRPr="009F3FFE" w:rsidSect="00FE0155">
      <w:footerReference w:type="default" r:id="rId24"/>
      <w:pgSz w:w="12240" w:h="15840" w:code="1"/>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38F01" w14:textId="77777777" w:rsidR="00E817F7" w:rsidRDefault="00E817F7" w:rsidP="003E3BC1">
      <w:pPr>
        <w:spacing w:after="0" w:line="240" w:lineRule="auto"/>
      </w:pPr>
      <w:r>
        <w:separator/>
      </w:r>
    </w:p>
  </w:endnote>
  <w:endnote w:type="continuationSeparator" w:id="0">
    <w:p w14:paraId="0EF06856" w14:textId="77777777" w:rsidR="00E817F7" w:rsidRDefault="00E817F7" w:rsidP="003E3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4309" w14:textId="76D64711" w:rsidR="00E817F7" w:rsidRPr="00C763C2" w:rsidRDefault="006D4A44">
    <w:pPr>
      <w:pStyle w:val="Footer"/>
      <w:jc w:val="center"/>
      <w:rPr>
        <w:rFonts w:ascii="Times New Roman" w:hAnsi="Times New Roman" w:cs="Times New Roman"/>
      </w:rPr>
    </w:pPr>
    <w:sdt>
      <w:sdtPr>
        <w:id w:val="1278300330"/>
        <w:docPartObj>
          <w:docPartGallery w:val="Page Numbers (Bottom of Page)"/>
          <w:docPartUnique/>
        </w:docPartObj>
      </w:sdtPr>
      <w:sdtEndPr>
        <w:rPr>
          <w:rFonts w:ascii="Times New Roman" w:hAnsi="Times New Roman" w:cs="Times New Roman"/>
          <w:noProof/>
        </w:rPr>
      </w:sdtEndPr>
      <w:sdtContent>
        <w:r w:rsidR="00E817F7" w:rsidRPr="00C763C2">
          <w:rPr>
            <w:rFonts w:ascii="Times New Roman" w:hAnsi="Times New Roman" w:cs="Times New Roman"/>
          </w:rPr>
          <w:fldChar w:fldCharType="begin"/>
        </w:r>
        <w:r w:rsidR="00E817F7" w:rsidRPr="00C763C2">
          <w:rPr>
            <w:rFonts w:ascii="Times New Roman" w:hAnsi="Times New Roman" w:cs="Times New Roman"/>
          </w:rPr>
          <w:instrText xml:space="preserve"> PAGE   \* MERGEFORMAT </w:instrText>
        </w:r>
        <w:r w:rsidR="00E817F7" w:rsidRPr="00C763C2">
          <w:rPr>
            <w:rFonts w:ascii="Times New Roman" w:hAnsi="Times New Roman" w:cs="Times New Roman"/>
          </w:rPr>
          <w:fldChar w:fldCharType="separate"/>
        </w:r>
        <w:r>
          <w:rPr>
            <w:rFonts w:ascii="Times New Roman" w:hAnsi="Times New Roman" w:cs="Times New Roman"/>
            <w:noProof/>
          </w:rPr>
          <w:t>43</w:t>
        </w:r>
        <w:r w:rsidR="00E817F7" w:rsidRPr="00C763C2">
          <w:rPr>
            <w:rFonts w:ascii="Times New Roman" w:hAnsi="Times New Roman" w:cs="Times New Roman"/>
            <w:noProof/>
          </w:rPr>
          <w:fldChar w:fldCharType="end"/>
        </w:r>
      </w:sdtContent>
    </w:sdt>
  </w:p>
  <w:p w14:paraId="2183019A" w14:textId="77777777" w:rsidR="00E817F7" w:rsidRPr="00C763C2" w:rsidRDefault="00E817F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3A766" w14:textId="77777777" w:rsidR="00E817F7" w:rsidRDefault="00E817F7" w:rsidP="003E3BC1">
      <w:pPr>
        <w:spacing w:after="0" w:line="240" w:lineRule="auto"/>
      </w:pPr>
      <w:r>
        <w:separator/>
      </w:r>
    </w:p>
  </w:footnote>
  <w:footnote w:type="continuationSeparator" w:id="0">
    <w:p w14:paraId="218A29B8" w14:textId="77777777" w:rsidR="00E817F7" w:rsidRDefault="00E817F7" w:rsidP="003E3BC1">
      <w:pPr>
        <w:spacing w:after="0" w:line="240" w:lineRule="auto"/>
      </w:pPr>
      <w:r>
        <w:continuationSeparator/>
      </w:r>
    </w:p>
  </w:footnote>
  <w:footnote w:id="1">
    <w:p w14:paraId="3093EE5D" w14:textId="2AE75444" w:rsidR="00E817F7" w:rsidRPr="00F56339" w:rsidRDefault="00E817F7">
      <w:pPr>
        <w:pStyle w:val="FootnoteText"/>
        <w:rPr>
          <w:rFonts w:ascii="Times New Roman" w:hAnsi="Times New Roman" w:cs="Times New Roman"/>
        </w:rPr>
      </w:pPr>
      <w:r w:rsidRPr="00F56339">
        <w:rPr>
          <w:rStyle w:val="FootnoteReference"/>
          <w:rFonts w:ascii="Times New Roman" w:hAnsi="Times New Roman" w:cs="Times New Roman"/>
        </w:rPr>
        <w:footnoteRef/>
      </w:r>
      <w:r w:rsidRPr="00F56339">
        <w:rPr>
          <w:rFonts w:ascii="Times New Roman" w:hAnsi="Times New Roman" w:cs="Times New Roman"/>
        </w:rPr>
        <w:t xml:space="preserve"> Taylor (1999a) </w:t>
      </w:r>
      <w:r>
        <w:rPr>
          <w:rFonts w:ascii="Times New Roman" w:hAnsi="Times New Roman" w:cs="Times New Roman"/>
        </w:rPr>
        <w:t xml:space="preserve">benchmarked interest rate outcomes against his baseline rule for </w:t>
      </w:r>
      <w:r w:rsidRPr="00F56339">
        <w:rPr>
          <w:rFonts w:ascii="Times New Roman" w:hAnsi="Times New Roman" w:cs="Times New Roman"/>
        </w:rPr>
        <w:t xml:space="preserve">the </w:t>
      </w:r>
      <w:r>
        <w:rPr>
          <w:rFonts w:ascii="Times New Roman" w:hAnsi="Times New Roman" w:cs="Times New Roman"/>
        </w:rPr>
        <w:t xml:space="preserve">years of the </w:t>
      </w:r>
      <w:r w:rsidRPr="00F56339">
        <w:rPr>
          <w:rFonts w:ascii="Times New Roman" w:hAnsi="Times New Roman" w:cs="Times New Roman"/>
        </w:rPr>
        <w:t>classical gold standard (1879-1914) and 1955-1997</w:t>
      </w:r>
      <w:r>
        <w:rPr>
          <w:rFonts w:ascii="Times New Roman" w:hAnsi="Times New Roman" w:cs="Times New Roman"/>
        </w:rPr>
        <w:t xml:space="preserve"> period, but not for the interwar years.</w:t>
      </w:r>
    </w:p>
  </w:footnote>
  <w:footnote w:id="2">
    <w:p w14:paraId="41328464" w14:textId="7E02A1B3" w:rsidR="00E817F7" w:rsidRDefault="00E817F7" w:rsidP="00F56339">
      <w:pPr>
        <w:spacing w:line="240" w:lineRule="auto"/>
      </w:pPr>
      <w:r>
        <w:rPr>
          <w:rStyle w:val="FootnoteReference"/>
        </w:rPr>
        <w:footnoteRef/>
      </w:r>
      <w:r>
        <w:t xml:space="preserve"> </w:t>
      </w:r>
      <w:r w:rsidRPr="00F56339">
        <w:rPr>
          <w:rFonts w:ascii="Times New Roman" w:eastAsia="Times New Roman" w:hAnsi="Times New Roman" w:cs="Times New Roman"/>
          <w:bCs/>
          <w:sz w:val="20"/>
          <w:szCs w:val="20"/>
        </w:rPr>
        <w:t>There is general agreement, for example, that high rates in 1928 and 1929 helped trigger the recession that began in the latter year.  Th</w:t>
      </w:r>
      <w:r>
        <w:rPr>
          <w:rFonts w:ascii="Times New Roman" w:eastAsia="Times New Roman" w:hAnsi="Times New Roman" w:cs="Times New Roman"/>
          <w:bCs/>
          <w:sz w:val="20"/>
          <w:szCs w:val="20"/>
        </w:rPr>
        <w:t>ese rate</w:t>
      </w:r>
      <w:r w:rsidRPr="00F56339">
        <w:rPr>
          <w:rFonts w:ascii="Times New Roman" w:eastAsia="Times New Roman" w:hAnsi="Times New Roman" w:cs="Times New Roman"/>
          <w:bCs/>
          <w:sz w:val="20"/>
          <w:szCs w:val="20"/>
        </w:rPr>
        <w:t xml:space="preserve"> increases reflected the Fed’s freedom of maneuver.  They were chosen not with an eye to defending the gold </w:t>
      </w:r>
      <w:r>
        <w:rPr>
          <w:rFonts w:ascii="Times New Roman" w:eastAsia="Times New Roman" w:hAnsi="Times New Roman" w:cs="Times New Roman"/>
          <w:bCs/>
          <w:sz w:val="20"/>
          <w:szCs w:val="20"/>
        </w:rPr>
        <w:t xml:space="preserve">dollar </w:t>
      </w:r>
      <w:r w:rsidRPr="00F56339">
        <w:rPr>
          <w:rFonts w:ascii="Times New Roman" w:eastAsia="Times New Roman" w:hAnsi="Times New Roman" w:cs="Times New Roman"/>
          <w:bCs/>
          <w:sz w:val="20"/>
          <w:szCs w:val="20"/>
        </w:rPr>
        <w:t>exchange rate, but with the explicit intent of deflating a domestic stock market bubble.</w:t>
      </w:r>
    </w:p>
  </w:footnote>
  <w:footnote w:id="3">
    <w:p w14:paraId="55952EB7" w14:textId="5E62C5AD" w:rsidR="00E817F7" w:rsidRPr="005F3FB6" w:rsidRDefault="00E817F7" w:rsidP="00287C11">
      <w:pPr>
        <w:pStyle w:val="FootnoteText"/>
        <w:rPr>
          <w:rFonts w:ascii="Times New Roman" w:hAnsi="Times New Roman" w:cs="Times New Roman"/>
        </w:rPr>
      </w:pPr>
      <w:r>
        <w:rPr>
          <w:rStyle w:val="FootnoteReference"/>
        </w:rPr>
        <w:footnoteRef/>
      </w:r>
      <w:r>
        <w:t xml:space="preserve"> </w:t>
      </w:r>
      <w:r w:rsidRPr="005F3FB6">
        <w:rPr>
          <w:rFonts w:ascii="Times New Roman" w:hAnsi="Times New Roman" w:cs="Times New Roman"/>
        </w:rPr>
        <w:t>White (2014,</w:t>
      </w:r>
      <w:r>
        <w:rPr>
          <w:rFonts w:ascii="Times New Roman" w:hAnsi="Times New Roman" w:cs="Times New Roman"/>
        </w:rPr>
        <w:t xml:space="preserve"> p. 125), raises</w:t>
      </w:r>
      <w:r w:rsidRPr="005F3FB6">
        <w:rPr>
          <w:rFonts w:ascii="Times New Roman" w:hAnsi="Times New Roman" w:cs="Times New Roman"/>
        </w:rPr>
        <w:t xml:space="preserve"> this possibility with respect to the </w:t>
      </w:r>
      <w:r>
        <w:rPr>
          <w:rFonts w:ascii="Times New Roman" w:hAnsi="Times New Roman" w:cs="Times New Roman"/>
        </w:rPr>
        <w:t xml:space="preserve">mid-decade residential </w:t>
      </w:r>
      <w:r w:rsidRPr="005F3FB6">
        <w:rPr>
          <w:rFonts w:ascii="Times New Roman" w:hAnsi="Times New Roman" w:cs="Times New Roman"/>
        </w:rPr>
        <w:t>real estate bubble.</w:t>
      </w:r>
    </w:p>
  </w:footnote>
  <w:footnote w:id="4">
    <w:p w14:paraId="24DE7C02" w14:textId="4C6616DD" w:rsidR="00E817F7" w:rsidRPr="00120970" w:rsidRDefault="00E817F7">
      <w:pPr>
        <w:pStyle w:val="FootnoteText"/>
        <w:rPr>
          <w:rFonts w:ascii="Times New Roman" w:hAnsi="Times New Roman" w:cs="Times New Roman"/>
        </w:rPr>
      </w:pPr>
      <w:r w:rsidRPr="00120970">
        <w:rPr>
          <w:rStyle w:val="FootnoteReference"/>
          <w:rFonts w:ascii="Times New Roman" w:hAnsi="Times New Roman" w:cs="Times New Roman"/>
        </w:rPr>
        <w:footnoteRef/>
      </w:r>
      <w:r w:rsidRPr="00120970">
        <w:rPr>
          <w:rFonts w:ascii="Times New Roman" w:hAnsi="Times New Roman" w:cs="Times New Roman"/>
        </w:rPr>
        <w:t xml:space="preserve"> The belief in stable velocity was so strong that conventional wisdom</w:t>
      </w:r>
      <w:r>
        <w:rPr>
          <w:rFonts w:ascii="Times New Roman" w:hAnsi="Times New Roman" w:cs="Times New Roman"/>
        </w:rPr>
        <w:t xml:space="preserve"> and textbook exposition</w:t>
      </w:r>
      <w:r w:rsidRPr="00120970">
        <w:rPr>
          <w:rFonts w:ascii="Times New Roman" w:hAnsi="Times New Roman" w:cs="Times New Roman"/>
        </w:rPr>
        <w:t xml:space="preserve"> in the early 1980s </w:t>
      </w:r>
      <w:r>
        <w:rPr>
          <w:rFonts w:ascii="Times New Roman" w:hAnsi="Times New Roman" w:cs="Times New Roman"/>
        </w:rPr>
        <w:t>treated</w:t>
      </w:r>
      <w:r w:rsidRPr="00120970">
        <w:rPr>
          <w:rFonts w:ascii="Times New Roman" w:hAnsi="Times New Roman" w:cs="Times New Roman"/>
        </w:rPr>
        <w:t xml:space="preserve"> the growth rate of the money supply and </w:t>
      </w:r>
      <w:r>
        <w:rPr>
          <w:rFonts w:ascii="Times New Roman" w:hAnsi="Times New Roman" w:cs="Times New Roman"/>
        </w:rPr>
        <w:t xml:space="preserve">the growth rate of </w:t>
      </w:r>
      <w:r w:rsidRPr="00120970">
        <w:rPr>
          <w:rFonts w:ascii="Times New Roman" w:hAnsi="Times New Roman" w:cs="Times New Roman"/>
        </w:rPr>
        <w:t xml:space="preserve">nominal income as, for practical purposes, </w:t>
      </w:r>
      <w:r>
        <w:rPr>
          <w:rFonts w:ascii="Times New Roman" w:hAnsi="Times New Roman" w:cs="Times New Roman"/>
        </w:rPr>
        <w:t xml:space="preserve">almost </w:t>
      </w:r>
      <w:r w:rsidRPr="00120970">
        <w:rPr>
          <w:rFonts w:ascii="Times New Roman" w:hAnsi="Times New Roman" w:cs="Times New Roman"/>
        </w:rPr>
        <w:t>identical.  See, for example, Gordon, 1982.  Subsequent experience has shown that income velocity is subject to substantial and unpredictable perturbations beyond those associated with variation in nominal interest rates.</w:t>
      </w:r>
    </w:p>
  </w:footnote>
  <w:footnote w:id="5">
    <w:p w14:paraId="0DF46BE4" w14:textId="4C6868EE" w:rsidR="00E817F7" w:rsidRDefault="00E817F7">
      <w:pPr>
        <w:pStyle w:val="FootnoteText"/>
      </w:pPr>
      <w:r>
        <w:rPr>
          <w:rStyle w:val="FootnoteReference"/>
        </w:rPr>
        <w:footnoteRef/>
      </w:r>
      <w:r>
        <w:t xml:space="preserve"> </w:t>
      </w:r>
      <w:r w:rsidRPr="008A3195">
        <w:rPr>
          <w:rFonts w:ascii="Times New Roman" w:hAnsi="Times New Roman" w:cs="Times New Roman"/>
        </w:rPr>
        <w:t>Friedman was more sanguine about deflatio</w:t>
      </w:r>
      <w:r>
        <w:rPr>
          <w:rFonts w:ascii="Times New Roman" w:hAnsi="Times New Roman" w:cs="Times New Roman"/>
        </w:rPr>
        <w:t>n than current policy makers. His</w:t>
      </w:r>
      <w:r w:rsidRPr="008A3195">
        <w:rPr>
          <w:rFonts w:ascii="Times New Roman" w:hAnsi="Times New Roman" w:cs="Times New Roman"/>
        </w:rPr>
        <w:t xml:space="preserve"> advocacy for 0 nominal interest rates was </w:t>
      </w:r>
      <w:r>
        <w:rPr>
          <w:rFonts w:ascii="Times New Roman" w:hAnsi="Times New Roman" w:cs="Times New Roman"/>
        </w:rPr>
        <w:t xml:space="preserve">paired with the view </w:t>
      </w:r>
      <w:r w:rsidRPr="008A3195">
        <w:rPr>
          <w:rFonts w:ascii="Times New Roman" w:hAnsi="Times New Roman" w:cs="Times New Roman"/>
        </w:rPr>
        <w:t xml:space="preserve">that with some deflation, real rates of return </w:t>
      </w:r>
      <w:r>
        <w:rPr>
          <w:rFonts w:ascii="Times New Roman" w:hAnsi="Times New Roman" w:cs="Times New Roman"/>
        </w:rPr>
        <w:t xml:space="preserve">on </w:t>
      </w:r>
      <w:r w:rsidRPr="008A3195">
        <w:rPr>
          <w:rFonts w:ascii="Times New Roman" w:hAnsi="Times New Roman" w:cs="Times New Roman"/>
        </w:rPr>
        <w:t>money and bonds could be equalized, which he viewed as desirable from an efficiency standpoint.</w:t>
      </w:r>
    </w:p>
  </w:footnote>
  <w:footnote w:id="6">
    <w:p w14:paraId="58337C09" w14:textId="1674C690" w:rsidR="00E817F7" w:rsidRDefault="00E817F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The term natural output, popularized by Friedman, is a synonym.  </w:t>
      </w:r>
      <w:r w:rsidRPr="00FE4CE3">
        <w:rPr>
          <w:rFonts w:ascii="Times New Roman" w:hAnsi="Times New Roman" w:cs="Times New Roman"/>
        </w:rPr>
        <w:t>Okun’s law suggested that there was a systematic relationship between changes in the unemployment rate and nchanges in the output level.  If the output gap is understood as the difference between actual and potential GDP, there will also be a systematic relationship between the unemployment rate and the output gap.</w:t>
      </w:r>
      <w:r>
        <w:rPr>
          <w:rFonts w:ascii="Times New Roman" w:hAnsi="Times New Roman" w:cs="Times New Roman"/>
        </w:rPr>
        <w:t xml:space="preserve"> Thus the unemployment rate is often used, along with Okun’s law, in calculating an output gap.</w:t>
      </w:r>
    </w:p>
    <w:p w14:paraId="50ED61ED" w14:textId="77777777" w:rsidR="00E817F7" w:rsidRDefault="00E817F7">
      <w:pPr>
        <w:pStyle w:val="FootnoteText"/>
      </w:pPr>
    </w:p>
  </w:footnote>
  <w:footnote w:id="7">
    <w:p w14:paraId="261EC67D" w14:textId="1DCE0515" w:rsidR="00E817F7" w:rsidRDefault="00E817F7" w:rsidP="00CA613A">
      <w:pPr>
        <w:pStyle w:val="FootnoteText"/>
      </w:pPr>
      <w:r>
        <w:rPr>
          <w:rStyle w:val="FootnoteReference"/>
        </w:rPr>
        <w:footnoteRef/>
      </w:r>
      <w:r>
        <w:t xml:space="preserve"> </w:t>
      </w:r>
      <w:r>
        <w:rPr>
          <w:rFonts w:ascii="Times New Roman" w:hAnsi="Times New Roman" w:cs="Times New Roman"/>
        </w:rPr>
        <w:t>RBC proponents reject the concept of an output gap as useful, or define it in new ways (see below). Ove</w:t>
      </w:r>
      <w:r w:rsidRPr="00F9781C">
        <w:rPr>
          <w:rFonts w:ascii="Times New Roman" w:hAnsi="Times New Roman" w:cs="Times New Roman"/>
        </w:rPr>
        <w:t>r the long run the growth trajectory of potential is likely to approximate the growth rate of actual output.  A k</w:t>
      </w:r>
      <w:r w:rsidRPr="00126FF7">
        <w:rPr>
          <w:rFonts w:ascii="Times New Roman" w:hAnsi="Times New Roman" w:cs="Times New Roman"/>
        </w:rPr>
        <w:t>ey question</w:t>
      </w:r>
      <w:r>
        <w:rPr>
          <w:rFonts w:ascii="Times New Roman" w:hAnsi="Times New Roman" w:cs="Times New Roman"/>
        </w:rPr>
        <w:t xml:space="preserve"> is whether time series data on</w:t>
      </w:r>
      <w:r w:rsidRPr="00F9781C">
        <w:rPr>
          <w:rFonts w:ascii="Times New Roman" w:hAnsi="Times New Roman" w:cs="Times New Roman"/>
        </w:rPr>
        <w:t xml:space="preserve"> actual output can be used to approximate </w:t>
      </w:r>
      <w:r>
        <w:rPr>
          <w:rFonts w:ascii="Times New Roman" w:hAnsi="Times New Roman" w:cs="Times New Roman"/>
        </w:rPr>
        <w:t xml:space="preserve">the level of </w:t>
      </w:r>
      <w:r w:rsidRPr="00F9781C">
        <w:rPr>
          <w:rFonts w:ascii="Times New Roman" w:hAnsi="Times New Roman" w:cs="Times New Roman"/>
        </w:rPr>
        <w:t>potential outpu</w:t>
      </w:r>
      <w:r>
        <w:rPr>
          <w:rFonts w:ascii="Times New Roman" w:hAnsi="Times New Roman" w:cs="Times New Roman"/>
        </w:rPr>
        <w:t>t, as well as its growth rate. A</w:t>
      </w:r>
      <w:r w:rsidRPr="00F9781C">
        <w:rPr>
          <w:rFonts w:ascii="Times New Roman" w:hAnsi="Times New Roman" w:cs="Times New Roman"/>
        </w:rPr>
        <w:t>n output gap is a statement about levels, not rates of growth</w:t>
      </w:r>
      <w:r>
        <w:rPr>
          <w:rFonts w:ascii="Times New Roman" w:hAnsi="Times New Roman" w:cs="Times New Roman"/>
        </w:rPr>
        <w:t>, and o</w:t>
      </w:r>
      <w:r w:rsidRPr="00F9781C">
        <w:rPr>
          <w:rFonts w:ascii="Times New Roman" w:hAnsi="Times New Roman" w:cs="Times New Roman"/>
        </w:rPr>
        <w:t xml:space="preserve">ver the medium to long term, the average level of actual output will likely deviate from the average level of potential – indeed, I will argue that it is likely to be lower.  </w:t>
      </w:r>
      <w:r>
        <w:rPr>
          <w:rFonts w:ascii="Times New Roman" w:hAnsi="Times New Roman" w:cs="Times New Roman"/>
          <w:sz w:val="24"/>
          <w:szCs w:val="24"/>
        </w:rPr>
        <w:t xml:space="preserve">  </w:t>
      </w:r>
    </w:p>
  </w:footnote>
  <w:footnote w:id="8">
    <w:p w14:paraId="5A846733" w14:textId="259522AF" w:rsidR="00E817F7" w:rsidRPr="00A50FD4" w:rsidRDefault="00E817F7">
      <w:pPr>
        <w:pStyle w:val="FootnoteText"/>
        <w:rPr>
          <w:rFonts w:ascii="Times New Roman" w:hAnsi="Times New Roman" w:cs="Times New Roman"/>
        </w:rPr>
      </w:pPr>
      <w:r>
        <w:rPr>
          <w:rStyle w:val="FootnoteReference"/>
        </w:rPr>
        <w:footnoteRef/>
      </w:r>
      <w:r>
        <w:rPr>
          <w:rFonts w:ascii="Times New Roman" w:hAnsi="Times New Roman" w:cs="Times New Roman"/>
        </w:rPr>
        <w:t>T</w:t>
      </w:r>
      <w:r w:rsidRPr="00A50FD4">
        <w:rPr>
          <w:rFonts w:ascii="Times New Roman" w:hAnsi="Times New Roman" w:cs="Times New Roman"/>
        </w:rPr>
        <w:t xml:space="preserve">he </w:t>
      </w:r>
      <w:r>
        <w:rPr>
          <w:rFonts w:ascii="Times New Roman" w:hAnsi="Times New Roman" w:cs="Times New Roman"/>
        </w:rPr>
        <w:t>deflation</w:t>
      </w:r>
      <w:r w:rsidRPr="00A50FD4">
        <w:rPr>
          <w:rFonts w:ascii="Times New Roman" w:hAnsi="Times New Roman" w:cs="Times New Roman"/>
        </w:rPr>
        <w:t xml:space="preserve"> of an asset price bubble </w:t>
      </w:r>
      <w:r>
        <w:rPr>
          <w:rFonts w:ascii="Times New Roman" w:hAnsi="Times New Roman" w:cs="Times New Roman"/>
        </w:rPr>
        <w:t>does not necessarily entail</w:t>
      </w:r>
      <w:r w:rsidRPr="00A50FD4">
        <w:rPr>
          <w:rFonts w:ascii="Times New Roman" w:hAnsi="Times New Roman" w:cs="Times New Roman"/>
        </w:rPr>
        <w:t xml:space="preserve"> severe cumulative output loss. Compare the effects of the collapse of the dot com bubble in 2001 with what happened from 2007 onwards.  The degree to which asset holders (and lenders to them) are highly leveraged can make a huge difference.</w:t>
      </w:r>
    </w:p>
  </w:footnote>
  <w:footnote w:id="9">
    <w:p w14:paraId="40510688" w14:textId="31DA66CF" w:rsidR="00E817F7" w:rsidRPr="00FE4CE3" w:rsidRDefault="00E817F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In his address to the annual AEA meeting in 2010, Bernanke (2010) compared house price appreciation between 2001 and 2006 and the degree of monetary ease.  He noted that “</w:t>
      </w:r>
      <w:r w:rsidRPr="00FE4CE3">
        <w:rPr>
          <w:rFonts w:ascii="Times New Roman" w:hAnsi="Times New Roman" w:cs="Times New Roman"/>
          <w:color w:val="000000"/>
          <w:shd w:val="clear" w:color="auto" w:fill="FFFFFF"/>
        </w:rPr>
        <w:t>11 of the 20 countries in the sample had both tighter monetary policies, relative to the standard Taylor-rule prescriptions, and greater house price appreciation than the United States</w:t>
      </w:r>
      <w:r>
        <w:rPr>
          <w:rFonts w:ascii="Times New Roman" w:hAnsi="Times New Roman" w:cs="Times New Roman"/>
          <w:color w:val="000000"/>
          <w:shd w:val="clear" w:color="auto" w:fill="FFFFFF"/>
        </w:rPr>
        <w:t xml:space="preserve">.”  </w:t>
      </w:r>
    </w:p>
  </w:footnote>
  <w:footnote w:id="10">
    <w:p w14:paraId="7F7CA668" w14:textId="2131E6E7" w:rsidR="00E817F7" w:rsidRPr="00A50FD4" w:rsidRDefault="00E817F7">
      <w:pPr>
        <w:pStyle w:val="FootnoteText"/>
        <w:rPr>
          <w:rFonts w:ascii="Times New Roman" w:hAnsi="Times New Roman" w:cs="Times New Roman"/>
        </w:rPr>
      </w:pPr>
      <w:r w:rsidRPr="00A50FD4">
        <w:rPr>
          <w:rStyle w:val="FootnoteReference"/>
          <w:rFonts w:ascii="Times New Roman" w:hAnsi="Times New Roman" w:cs="Times New Roman"/>
        </w:rPr>
        <w:footnoteRef/>
      </w:r>
      <w:r w:rsidRPr="00A50FD4">
        <w:rPr>
          <w:rFonts w:ascii="Times New Roman" w:hAnsi="Times New Roman" w:cs="Times New Roman"/>
        </w:rPr>
        <w:t xml:space="preserve"> The BIS report makes the case for th</w:t>
      </w:r>
      <w:r>
        <w:rPr>
          <w:rFonts w:ascii="Times New Roman" w:hAnsi="Times New Roman" w:cs="Times New Roman"/>
        </w:rPr>
        <w:t xml:space="preserve">e </w:t>
      </w:r>
      <w:r w:rsidRPr="00A50FD4">
        <w:rPr>
          <w:rFonts w:ascii="Times New Roman" w:hAnsi="Times New Roman" w:cs="Times New Roman"/>
        </w:rPr>
        <w:t>wager</w:t>
      </w:r>
      <w:r>
        <w:rPr>
          <w:rFonts w:ascii="Times New Roman" w:hAnsi="Times New Roman" w:cs="Times New Roman"/>
        </w:rPr>
        <w:t xml:space="preserve"> in these terms</w:t>
      </w:r>
      <w:r w:rsidRPr="00A50FD4">
        <w:rPr>
          <w:rFonts w:ascii="Times New Roman" w:hAnsi="Times New Roman" w:cs="Times New Roman"/>
        </w:rPr>
        <w:t>:  “If the ultimate criterion for a successful monetary policy is to promote sustainable economic growth and, in the process, help avoid major macroeconomic damage, then a rebalancing of policy priorities towards greater attention to financial stability would seem justified” (2015, p. 82).</w:t>
      </w:r>
    </w:p>
  </w:footnote>
  <w:footnote w:id="11">
    <w:p w14:paraId="76B0CC36" w14:textId="77777777" w:rsidR="00E817F7" w:rsidRDefault="00E817F7" w:rsidP="0099387D">
      <w:pPr>
        <w:spacing w:line="240" w:lineRule="auto"/>
        <w:rPr>
          <w:rFonts w:ascii="Times New Roman" w:hAnsi="Times New Roman" w:cs="Times New Roman"/>
          <w:sz w:val="24"/>
          <w:szCs w:val="24"/>
        </w:rPr>
      </w:pPr>
      <w:r>
        <w:rPr>
          <w:rStyle w:val="FootnoteReference"/>
        </w:rPr>
        <w:footnoteRef/>
      </w:r>
      <w:r>
        <w:t xml:space="preserve"> </w:t>
      </w:r>
      <w:r w:rsidRPr="00F9781C">
        <w:rPr>
          <w:rFonts w:ascii="Times New Roman" w:hAnsi="Times New Roman" w:cs="Times New Roman"/>
          <w:sz w:val="20"/>
          <w:szCs w:val="20"/>
        </w:rPr>
        <w:t>Mishkin also claims that “t</w:t>
      </w:r>
      <w:r w:rsidRPr="00F9781C">
        <w:rPr>
          <w:rFonts w:ascii="Times New Roman" w:hAnsi="Times New Roman" w:cs="Times New Roman"/>
          <w:color w:val="000000"/>
          <w:sz w:val="20"/>
          <w:szCs w:val="20"/>
          <w:shd w:val="clear" w:color="auto" w:fill="FFFFFF"/>
        </w:rPr>
        <w:t>he DSGE definition accords with the idea that potential output is the level of output at which inflation tends neither to rise nor fall.”  But this I think is wrong.  If there are no nominal wage and price rigidities, the rate of nominal income growth would be completely neutral with respect to output.  The price level and/or inflation could be rising or falling at any rate.</w:t>
      </w:r>
      <w:r w:rsidRPr="00F9781C">
        <w:rPr>
          <w:rFonts w:ascii="Times New Roman" w:hAnsi="Times New Roman" w:cs="Times New Roman"/>
          <w:sz w:val="20"/>
          <w:szCs w:val="20"/>
        </w:rPr>
        <w:t xml:space="preserve"> </w:t>
      </w:r>
    </w:p>
    <w:p w14:paraId="779731CB" w14:textId="77777777" w:rsidR="00E817F7" w:rsidRDefault="00E817F7" w:rsidP="0099387D">
      <w:pPr>
        <w:pStyle w:val="FootnoteText"/>
      </w:pPr>
    </w:p>
  </w:footnote>
  <w:footnote w:id="12">
    <w:p w14:paraId="469E8463" w14:textId="77777777" w:rsidR="00E817F7" w:rsidRPr="000D171F" w:rsidRDefault="00E817F7" w:rsidP="003B5A6A">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 economy was clearly above potential during the Second World War.  Massive fiscal and monetary stimulus drove unemployment to extremely low rates, and inflationary pressures were temporarily repressed with rationing, price controls, and the unavailable to important consumer durables.  When controls were lifted after the war inflation accelerated between 1945 and 1950.</w:t>
      </w:r>
    </w:p>
  </w:footnote>
  <w:footnote w:id="13">
    <w:p w14:paraId="66A8677A" w14:textId="2F6687F6" w:rsidR="00E817F7" w:rsidRDefault="00E817F7">
      <w:pPr>
        <w:pStyle w:val="FootnoteText"/>
      </w:pPr>
      <w:r>
        <w:rPr>
          <w:rStyle w:val="FootnoteReference"/>
        </w:rPr>
        <w:footnoteRef/>
      </w:r>
      <w:r>
        <w:t xml:space="preserve"> “</w:t>
      </w:r>
      <w:r w:rsidRPr="00F56339">
        <w:rPr>
          <w:rFonts w:ascii="Times New Roman" w:hAnsi="Times New Roman" w:cs="Times New Roman"/>
        </w:rPr>
        <w:t>Many methods used to compute potential output do not benchmark their trends to inflation or any independent measure of capacity and therefore cannot be interpreted as estimating the level of maximum sustainable output. That is, they provide a measure of trend output but not potential output.”</w:t>
      </w:r>
      <w:r>
        <w:t xml:space="preserve"> </w:t>
      </w:r>
      <w:r w:rsidRPr="00F56339">
        <w:rPr>
          <w:rFonts w:ascii="Times New Roman" w:hAnsi="Times New Roman" w:cs="Times New Roman"/>
        </w:rPr>
        <w:t>Congressional Budget Office, 2004, p. 2</w:t>
      </w:r>
      <w:r>
        <w:t>.</w:t>
      </w:r>
    </w:p>
  </w:footnote>
  <w:footnote w:id="14">
    <w:p w14:paraId="5F1BD173" w14:textId="77777777" w:rsidR="00E817F7" w:rsidRPr="00120970" w:rsidRDefault="00E817F7" w:rsidP="00F6530C">
      <w:pPr>
        <w:pStyle w:val="FootnoteText"/>
        <w:rPr>
          <w:rFonts w:ascii="Times New Roman" w:hAnsi="Times New Roman" w:cs="Times New Roman"/>
        </w:rPr>
      </w:pPr>
      <w:r w:rsidRPr="00120970">
        <w:rPr>
          <w:rStyle w:val="FootnoteReference"/>
          <w:rFonts w:ascii="Times New Roman" w:hAnsi="Times New Roman" w:cs="Times New Roman"/>
        </w:rPr>
        <w:footnoteRef/>
      </w:r>
      <w:r w:rsidRPr="00120970">
        <w:rPr>
          <w:rFonts w:ascii="Times New Roman" w:hAnsi="Times New Roman" w:cs="Times New Roman"/>
        </w:rPr>
        <w:t xml:space="preserve"> Romer’s “remeasuring” of pre-World War II business cycles results in only minor changes in chronology for the 1920s.  The July 1921 trough gets moved back to March of that year. The October 1926 peak gets advanced to March of 1927. The November 1927 trough and the August 1929 peak each get moved forward a month. See Romer, 1994, p. 592.  Of the eight turning points in the chronology between 1919 and 1929, four are unchanged and two are altered by only one month.  This is a much higher rate of agreement than between 1887 and 1917, when only five of the sixteen turning points a</w:t>
      </w:r>
      <w:r>
        <w:rPr>
          <w:rFonts w:ascii="Times New Roman" w:hAnsi="Times New Roman" w:cs="Times New Roman"/>
        </w:rPr>
        <w:t>re unchanged using Romer’s meth</w:t>
      </w:r>
      <w:r w:rsidRPr="00120970">
        <w:rPr>
          <w:rFonts w:ascii="Times New Roman" w:hAnsi="Times New Roman" w:cs="Times New Roman"/>
        </w:rPr>
        <w:t xml:space="preserve">ods. The 1919-1929 adjustments are consistent with the pattern of advancing </w:t>
      </w:r>
      <w:r>
        <w:rPr>
          <w:rFonts w:ascii="Times New Roman" w:hAnsi="Times New Roman" w:cs="Times New Roman"/>
        </w:rPr>
        <w:t xml:space="preserve">the </w:t>
      </w:r>
      <w:r w:rsidRPr="00120970">
        <w:rPr>
          <w:rFonts w:ascii="Times New Roman" w:hAnsi="Times New Roman" w:cs="Times New Roman"/>
        </w:rPr>
        <w:t>peaks and retarding the troughs that is central to Romer’s contention that pre-World War II expansions were not that much shorter than those in the postwar period. See Romer (1994, pp. 592-593).</w:t>
      </w:r>
    </w:p>
  </w:footnote>
  <w:footnote w:id="15">
    <w:p w14:paraId="78E6C513" w14:textId="1306D308" w:rsidR="00E817F7" w:rsidRPr="00120970" w:rsidRDefault="00E817F7">
      <w:pPr>
        <w:pStyle w:val="FootnoteText"/>
        <w:rPr>
          <w:rFonts w:ascii="Times New Roman" w:hAnsi="Times New Roman" w:cs="Times New Roman"/>
        </w:rPr>
      </w:pPr>
      <w:r w:rsidRPr="00120970">
        <w:rPr>
          <w:rStyle w:val="FootnoteReference"/>
          <w:rFonts w:ascii="Times New Roman" w:hAnsi="Times New Roman" w:cs="Times New Roman"/>
        </w:rPr>
        <w:footnoteRef/>
      </w:r>
      <w:r w:rsidRPr="00120970">
        <w:rPr>
          <w:rFonts w:ascii="Times New Roman" w:hAnsi="Times New Roman" w:cs="Times New Roman"/>
        </w:rPr>
        <w:t xml:space="preserve"> As Romer (1989, p. 18) puts it, “Often, researchers choose to connect peak years and thus form an estimate of potential rather than trend GNP or commodity output....”  </w:t>
      </w:r>
      <w:r>
        <w:rPr>
          <w:rFonts w:ascii="Times New Roman" w:hAnsi="Times New Roman" w:cs="Times New Roman"/>
        </w:rPr>
        <w:t>That is my practice here, which closely follows CBO practice. See CBO (2004) for discussion of their methods, and consideration of advantages and disadvantages relative to statistical filtering approaches.</w:t>
      </w:r>
    </w:p>
  </w:footnote>
  <w:footnote w:id="16">
    <w:p w14:paraId="0EE7ACEF" w14:textId="0B877682" w:rsidR="00E817F7" w:rsidRDefault="00E817F7">
      <w:pPr>
        <w:pStyle w:val="FootnoteText"/>
      </w:pPr>
      <w:r w:rsidRPr="00120970">
        <w:rPr>
          <w:rStyle w:val="FootnoteReference"/>
          <w:rFonts w:ascii="Times New Roman" w:hAnsi="Times New Roman" w:cs="Times New Roman"/>
        </w:rPr>
        <w:footnoteRef/>
      </w:r>
      <w:r w:rsidRPr="00120970">
        <w:rPr>
          <w:rFonts w:ascii="Times New Roman" w:hAnsi="Times New Roman" w:cs="Times New Roman"/>
        </w:rPr>
        <w:t xml:space="preserve"> </w:t>
      </w:r>
      <w:r>
        <w:rPr>
          <w:rFonts w:ascii="Times New Roman" w:hAnsi="Times New Roman" w:cs="Times New Roman"/>
        </w:rPr>
        <w:t>Contributors to the</w:t>
      </w:r>
      <w:r w:rsidRPr="00120970">
        <w:rPr>
          <w:rFonts w:ascii="Times New Roman" w:hAnsi="Times New Roman" w:cs="Times New Roman"/>
        </w:rPr>
        <w:t xml:space="preserve"> policy ineffectiveness </w:t>
      </w:r>
      <w:r>
        <w:rPr>
          <w:rFonts w:ascii="Times New Roman" w:hAnsi="Times New Roman" w:cs="Times New Roman"/>
        </w:rPr>
        <w:t xml:space="preserve">literature, such as Lucas and Barro, modified the </w:t>
      </w:r>
      <w:r w:rsidRPr="00120970">
        <w:rPr>
          <w:rFonts w:ascii="Times New Roman" w:hAnsi="Times New Roman" w:cs="Times New Roman"/>
        </w:rPr>
        <w:t xml:space="preserve">postulate to allow that unanticipated changes in the money supply (nominal income) might temporarily drive actual away from potential.  </w:t>
      </w:r>
      <w:r>
        <w:rPr>
          <w:rFonts w:ascii="Times New Roman" w:hAnsi="Times New Roman" w:cs="Times New Roman"/>
        </w:rPr>
        <w:t>Some RBC proponents</w:t>
      </w:r>
      <w:r w:rsidRPr="00120970">
        <w:rPr>
          <w:rFonts w:ascii="Times New Roman" w:hAnsi="Times New Roman" w:cs="Times New Roman"/>
        </w:rPr>
        <w:t xml:space="preserve"> could be read as suggesting that a gap between actual and “potential” might be attributable to misguided government legislation or regulation.</w:t>
      </w:r>
    </w:p>
  </w:footnote>
  <w:footnote w:id="17">
    <w:p w14:paraId="3EACFC6C" w14:textId="43D64AFB" w:rsidR="00E817F7" w:rsidRDefault="00E817F7">
      <w:pPr>
        <w:pStyle w:val="FootnoteText"/>
      </w:pPr>
      <w:r>
        <w:rPr>
          <w:rStyle w:val="FootnoteReference"/>
        </w:rPr>
        <w:footnoteRef/>
      </w:r>
      <w:r>
        <w:t xml:space="preserve"> </w:t>
      </w:r>
      <w:r w:rsidRPr="0021220C">
        <w:rPr>
          <w:rFonts w:ascii="Times New Roman" w:eastAsia="Times New Roman" w:hAnsi="Times New Roman" w:cs="Times New Roman"/>
        </w:rPr>
        <w:t>This is, however, not the rationale given by Romer, who argues that because of the overestimate of GNP volatility prior to 1909, the peaks and troughs are less accurately measured than “normal” years. (1989, p. 18).</w:t>
      </w:r>
    </w:p>
  </w:footnote>
  <w:footnote w:id="18">
    <w:p w14:paraId="3D6E2FA7" w14:textId="5D448D3F" w:rsidR="00E817F7" w:rsidRDefault="00E817F7" w:rsidP="0047312E">
      <w:pPr>
        <w:pStyle w:val="FootnoteText"/>
      </w:pPr>
      <w:r>
        <w:rPr>
          <w:rStyle w:val="FootnoteReference"/>
        </w:rPr>
        <w:footnoteRef/>
      </w:r>
      <w:r>
        <w:t xml:space="preserve"> </w:t>
      </w:r>
      <w:r w:rsidRPr="00F56339">
        <w:rPr>
          <w:rFonts w:ascii="Times New Roman" w:hAnsi="Times New Roman" w:cs="Times New Roman"/>
        </w:rPr>
        <w:t xml:space="preserve">Christy Romer has pointed out to me that, due to lags, one might be concerned about being above potential even without evidence of accelerating inflation. </w:t>
      </w:r>
      <w:r>
        <w:rPr>
          <w:rFonts w:ascii="Times New Roman" w:hAnsi="Times New Roman" w:cs="Times New Roman"/>
        </w:rPr>
        <w:t>T</w:t>
      </w:r>
      <w:r w:rsidRPr="00F56339">
        <w:rPr>
          <w:rFonts w:ascii="Times New Roman" w:hAnsi="Times New Roman" w:cs="Times New Roman"/>
        </w:rPr>
        <w:t xml:space="preserve">his seems </w:t>
      </w:r>
      <w:r>
        <w:rPr>
          <w:rFonts w:ascii="Times New Roman" w:hAnsi="Times New Roman" w:cs="Times New Roman"/>
        </w:rPr>
        <w:t xml:space="preserve">however </w:t>
      </w:r>
      <w:r w:rsidRPr="00F56339">
        <w:rPr>
          <w:rFonts w:ascii="Times New Roman" w:hAnsi="Times New Roman" w:cs="Times New Roman"/>
        </w:rPr>
        <w:t>a slippery slope.  One can always fear that inflation is just around the corner.  Sometimes (although of course not always), such fears are groundless, as were the repeated expressions of concern among inflation hawks from 2010 through 2016.</w:t>
      </w:r>
    </w:p>
  </w:footnote>
  <w:footnote w:id="19">
    <w:p w14:paraId="5408CD29" w14:textId="03A5BB31" w:rsidR="00E817F7" w:rsidRDefault="00E817F7">
      <w:pPr>
        <w:pStyle w:val="FootnoteText"/>
      </w:pPr>
      <w:r>
        <w:rPr>
          <w:rStyle w:val="FootnoteReference"/>
        </w:rPr>
        <w:footnoteRef/>
      </w:r>
      <w:r>
        <w:t xml:space="preserve"> </w:t>
      </w:r>
      <w:r w:rsidRPr="00A50FD4">
        <w:rPr>
          <w:rFonts w:ascii="Times New Roman" w:hAnsi="Times New Roman" w:cs="Times New Roman"/>
        </w:rPr>
        <w:t xml:space="preserve">Again, see the 2015 BIS Annual Report:  “Such indicators </w:t>
      </w:r>
      <w:r>
        <w:rPr>
          <w:rFonts w:ascii="Times New Roman" w:hAnsi="Times New Roman" w:cs="Times New Roman"/>
        </w:rPr>
        <w:t xml:space="preserve">(deviations of debt service ratios and leverage from their long run trends) </w:t>
      </w:r>
      <w:r w:rsidRPr="00A50FD4">
        <w:rPr>
          <w:rFonts w:ascii="Times New Roman" w:hAnsi="Times New Roman" w:cs="Times New Roman"/>
        </w:rPr>
        <w:t>would have helped establish that output was running above its sustainable, or potential, level ahead of the most recent crisis in the United States – something that typical estimates used in policymaking, partly distorted by subdued inflation, have done only ex post, as they rewrite history based on new information”</w:t>
      </w:r>
      <w:r>
        <w:rPr>
          <w:rFonts w:ascii="Times New Roman" w:hAnsi="Times New Roman" w:cs="Times New Roman"/>
        </w:rPr>
        <w:t xml:space="preserve"> (p. 14).  The idea that “subdued inflation” distorts our estimates of potential is an even more direct challenge to the idea that evidence of accelerating inflation is a necessary condition for identifying a period as above potential.</w:t>
      </w:r>
    </w:p>
  </w:footnote>
  <w:footnote w:id="20">
    <w:p w14:paraId="74DAFD4F" w14:textId="4AA16FAA" w:rsidR="00E817F7" w:rsidRDefault="00E817F7" w:rsidP="00F56339">
      <w:pPr>
        <w:spacing w:line="240" w:lineRule="auto"/>
        <w:rPr>
          <w:rFonts w:ascii="Times New Roman" w:hAnsi="Times New Roman" w:cs="Times New Roman"/>
          <w:b/>
          <w:sz w:val="24"/>
          <w:szCs w:val="24"/>
        </w:rPr>
      </w:pPr>
      <w:r>
        <w:rPr>
          <w:rStyle w:val="FootnoteReference"/>
        </w:rPr>
        <w:footnoteRef/>
      </w:r>
      <w:r>
        <w:t xml:space="preserve"> </w:t>
      </w:r>
      <w:r w:rsidRPr="00F56339">
        <w:rPr>
          <w:rFonts w:ascii="Times New Roman" w:hAnsi="Times New Roman" w:cs="Times New Roman"/>
          <w:sz w:val="20"/>
          <w:szCs w:val="20"/>
        </w:rPr>
        <w:t>It is important to keep in mind that what we are doing is a retrospective exercise, which does not imply that policy makers had real time access to industrial production data and would have altered monetary policy at that frequency.</w:t>
      </w:r>
      <w:r>
        <w:rPr>
          <w:rFonts w:ascii="Times New Roman" w:hAnsi="Times New Roman" w:cs="Times New Roman"/>
          <w:sz w:val="24"/>
          <w:szCs w:val="24"/>
        </w:rPr>
        <w:t xml:space="preserve">  </w:t>
      </w:r>
    </w:p>
    <w:p w14:paraId="393E5D5C" w14:textId="47905845" w:rsidR="00E817F7" w:rsidRDefault="00E817F7">
      <w:pPr>
        <w:pStyle w:val="FootnoteText"/>
      </w:pPr>
    </w:p>
  </w:footnote>
  <w:footnote w:id="21">
    <w:p w14:paraId="14088F4C" w14:textId="77777777" w:rsidR="00E817F7" w:rsidRPr="008A3195" w:rsidRDefault="00E817F7" w:rsidP="00984604">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These rates would have been even more extreme than those resulting from Volcker’s monetary tightening in 1982.</w:t>
      </w:r>
    </w:p>
  </w:footnote>
  <w:footnote w:id="22">
    <w:p w14:paraId="4D8F7CDD" w14:textId="06319F61" w:rsidR="00E817F7" w:rsidRPr="00120970" w:rsidRDefault="00E817F7" w:rsidP="00724FC7">
      <w:pPr>
        <w:pStyle w:val="FootnoteText"/>
        <w:rPr>
          <w:rFonts w:ascii="Times New Roman" w:hAnsi="Times New Roman" w:cs="Times New Roman"/>
        </w:rPr>
      </w:pPr>
      <w:r w:rsidRPr="00120970">
        <w:rPr>
          <w:rStyle w:val="FootnoteReference"/>
          <w:rFonts w:ascii="Times New Roman" w:hAnsi="Times New Roman" w:cs="Times New Roman"/>
        </w:rPr>
        <w:footnoteRef/>
      </w:r>
      <w:r w:rsidRPr="00120970">
        <w:rPr>
          <w:rFonts w:ascii="Times New Roman" w:hAnsi="Times New Roman" w:cs="Times New Roman"/>
        </w:rPr>
        <w:t xml:space="preserve"> Taylor (1999) notes that “When inflation gets very high or negative, interest rate rules lose their usefulness because expectations of inflation shift around a lot and are hard to measure. In these circumstances interest rate rules lose their advantages over money supply rules and can break down completely…”</w:t>
      </w:r>
    </w:p>
  </w:footnote>
  <w:footnote w:id="23">
    <w:p w14:paraId="00CF151B" w14:textId="430C33A6" w:rsidR="00E817F7" w:rsidRPr="00120970" w:rsidRDefault="00E817F7">
      <w:pPr>
        <w:pStyle w:val="FootnoteText"/>
        <w:rPr>
          <w:rFonts w:ascii="Times New Roman" w:hAnsi="Times New Roman" w:cs="Times New Roman"/>
        </w:rPr>
      </w:pPr>
      <w:r w:rsidRPr="00120970">
        <w:rPr>
          <w:rStyle w:val="FootnoteReference"/>
          <w:rFonts w:ascii="Times New Roman" w:hAnsi="Times New Roman" w:cs="Times New Roman"/>
        </w:rPr>
        <w:footnoteRef/>
      </w:r>
      <w:r w:rsidRPr="00120970">
        <w:rPr>
          <w:rFonts w:ascii="Times New Roman" w:hAnsi="Times New Roman" w:cs="Times New Roman"/>
        </w:rPr>
        <w:t xml:space="preserve"> In addition, given the non-indexed character of most bonds and financial contracts, the transition to deflation will mean large and disruptive wealth transfers to creditors, compensated only partly by higher defaults likely to ensue as the output gap grows.  This is the Fisherian debt deflation process. When Taylor was writing in the 1990s, the zero lower bound had not been approached since the 1930s.</w:t>
      </w:r>
    </w:p>
  </w:footnote>
  <w:footnote w:id="24">
    <w:p w14:paraId="3F9A2445" w14:textId="0857AD28" w:rsidR="00E817F7" w:rsidRDefault="00E817F7">
      <w:pPr>
        <w:pStyle w:val="FootnoteText"/>
      </w:pPr>
      <w:r>
        <w:rPr>
          <w:rStyle w:val="FootnoteReference"/>
        </w:rPr>
        <w:footnoteRef/>
      </w:r>
      <w:r>
        <w:t xml:space="preserve"> </w:t>
      </w:r>
      <w:r>
        <w:rPr>
          <w:rFonts w:ascii="Times New Roman" w:hAnsi="Times New Roman" w:cs="Times New Roman"/>
        </w:rPr>
        <w:t>Although familiar with White’s chapter and the working paper that preceded it, which I had cited earlier in work on the interwar housing cycle (Field, 2014), I simply did not recall that he had essayed a similar exploration of the Taylor rule in the 1920s until after the first versions of this paper was completed. At that point the challenge became to understand where and why his conclusions differed.</w:t>
      </w:r>
    </w:p>
  </w:footnote>
  <w:footnote w:id="25">
    <w:p w14:paraId="482450C9" w14:textId="0BFFC212" w:rsidR="00E817F7" w:rsidRPr="0002374D" w:rsidRDefault="00E817F7">
      <w:pPr>
        <w:pStyle w:val="FootnoteText"/>
        <w:rPr>
          <w:rFonts w:ascii="Times New Roman" w:hAnsi="Times New Roman" w:cs="Times New Roman"/>
        </w:rPr>
      </w:pPr>
      <w:r w:rsidRPr="0002374D">
        <w:rPr>
          <w:rStyle w:val="FootnoteReference"/>
          <w:rFonts w:ascii="Times New Roman" w:hAnsi="Times New Roman" w:cs="Times New Roman"/>
        </w:rPr>
        <w:footnoteRef/>
      </w:r>
      <w:r w:rsidR="00C349DA" w:rsidRPr="0002374D">
        <w:rPr>
          <w:rFonts w:ascii="Times New Roman" w:hAnsi="Times New Roman" w:cs="Times New Roman"/>
        </w:rPr>
        <w:t xml:space="preserve"> </w:t>
      </w:r>
      <w:r w:rsidRPr="0002374D">
        <w:rPr>
          <w:rFonts w:ascii="Times New Roman" w:hAnsi="Times New Roman" w:cs="Times New Roman"/>
        </w:rPr>
        <w:t xml:space="preserve">Four percent is quite high; White acknowledges that the private sector short rates </w:t>
      </w:r>
      <w:r w:rsidR="00C349DA" w:rsidRPr="0002374D">
        <w:rPr>
          <w:rFonts w:ascii="Times New Roman" w:hAnsi="Times New Roman" w:cs="Times New Roman"/>
        </w:rPr>
        <w:t>upon which he bases this i</w:t>
      </w:r>
      <w:r w:rsidRPr="0002374D">
        <w:rPr>
          <w:rFonts w:ascii="Times New Roman" w:hAnsi="Times New Roman" w:cs="Times New Roman"/>
        </w:rPr>
        <w:t xml:space="preserve">nclude a risk premium.  </w:t>
      </w:r>
      <w:r w:rsidR="00C349DA" w:rsidRPr="0002374D">
        <w:rPr>
          <w:rFonts w:ascii="Times New Roman" w:hAnsi="Times New Roman" w:cs="Times New Roman"/>
        </w:rPr>
        <w:t xml:space="preserve">Two percent is incorporated in Taylor’s baseline model; perhaps three percent could be justified for the 1920s.   </w:t>
      </w:r>
      <w:r w:rsidRPr="0002374D">
        <w:rPr>
          <w:rFonts w:ascii="Times New Roman" w:hAnsi="Times New Roman" w:cs="Times New Roman"/>
        </w:rPr>
        <w:t xml:space="preserve">If one examines three month T bill yields </w:t>
      </w:r>
      <w:r w:rsidR="00C349DA" w:rsidRPr="0002374D">
        <w:rPr>
          <w:rFonts w:ascii="Times New Roman" w:hAnsi="Times New Roman" w:cs="Times New Roman"/>
        </w:rPr>
        <w:t>(zero default risk)</w:t>
      </w:r>
      <w:r w:rsidRPr="0002374D">
        <w:rPr>
          <w:rFonts w:ascii="Times New Roman" w:hAnsi="Times New Roman" w:cs="Times New Roman"/>
        </w:rPr>
        <w:t>, they decline</w:t>
      </w:r>
      <w:r w:rsidR="00C349DA" w:rsidRPr="0002374D">
        <w:rPr>
          <w:rFonts w:ascii="Times New Roman" w:hAnsi="Times New Roman" w:cs="Times New Roman"/>
        </w:rPr>
        <w:t xml:space="preserve"> almost to three </w:t>
      </w:r>
      <w:r w:rsidRPr="0002374D">
        <w:rPr>
          <w:rFonts w:ascii="Times New Roman" w:hAnsi="Times New Roman" w:cs="Times New Roman"/>
        </w:rPr>
        <w:t>percent in August of 1922, before rising to a peak of 4.22 percent in October of 1923, coinciding with</w:t>
      </w:r>
      <w:r w:rsidR="00C349DA" w:rsidRPr="0002374D">
        <w:rPr>
          <w:rFonts w:ascii="Times New Roman" w:hAnsi="Times New Roman" w:cs="Times New Roman"/>
        </w:rPr>
        <w:t xml:space="preserve"> the first stage of a recession that ran from </w:t>
      </w:r>
      <w:r w:rsidRPr="0002374D">
        <w:rPr>
          <w:rFonts w:ascii="Times New Roman" w:hAnsi="Times New Roman" w:cs="Times New Roman"/>
        </w:rPr>
        <w:t xml:space="preserve">May 1923 </w:t>
      </w:r>
      <w:r w:rsidR="00C349DA" w:rsidRPr="0002374D">
        <w:rPr>
          <w:rFonts w:ascii="Times New Roman" w:hAnsi="Times New Roman" w:cs="Times New Roman"/>
        </w:rPr>
        <w:t xml:space="preserve">until July of 1924, by which time they have dropped to below two percent.   Rates then begin rising, reaching a peak of 3.65 percent in November 1925, a level not exceeded again until May of 1928, well into the Fed’s explicit tightening.   Rates peaked at 5.09 in May of 1929, but these </w:t>
      </w:r>
      <w:r w:rsidR="0002374D" w:rsidRPr="0002374D">
        <w:rPr>
          <w:rFonts w:ascii="Times New Roman" w:hAnsi="Times New Roman" w:cs="Times New Roman"/>
        </w:rPr>
        <w:t xml:space="preserve">end of decade </w:t>
      </w:r>
      <w:r w:rsidR="00C349DA" w:rsidRPr="0002374D">
        <w:rPr>
          <w:rFonts w:ascii="Times New Roman" w:hAnsi="Times New Roman" w:cs="Times New Roman"/>
        </w:rPr>
        <w:t xml:space="preserve">levels must be interpreted as above the natural rate, since they triggered recession.  FRED series M1329AUSM193NNBR, accessed February 23, 2016. </w:t>
      </w:r>
    </w:p>
  </w:footnote>
  <w:footnote w:id="26">
    <w:p w14:paraId="638FC8D6" w14:textId="78A37F4D" w:rsidR="00E817F7" w:rsidRDefault="00E817F7">
      <w:pPr>
        <w:pStyle w:val="FootnoteText"/>
      </w:pPr>
      <w:r w:rsidRPr="00A50FD4">
        <w:rPr>
          <w:rStyle w:val="FootnoteReference"/>
          <w:rFonts w:ascii="Times New Roman" w:hAnsi="Times New Roman" w:cs="Times New Roman"/>
        </w:rPr>
        <w:footnoteRef/>
      </w:r>
      <w:r w:rsidRPr="00A50FD4">
        <w:rPr>
          <w:rFonts w:ascii="Times New Roman" w:hAnsi="Times New Roman" w:cs="Times New Roman"/>
        </w:rPr>
        <w:t xml:space="preserve"> This is not to question the claim that recession and slow recovery following a financial crisis may bend downward the trajectory of potential output growth.  That </w:t>
      </w:r>
      <w:r>
        <w:rPr>
          <w:rFonts w:ascii="Times New Roman" w:hAnsi="Times New Roman" w:cs="Times New Roman"/>
        </w:rPr>
        <w:t xml:space="preserve">argument </w:t>
      </w:r>
      <w:r w:rsidRPr="00A50FD4">
        <w:rPr>
          <w:rFonts w:ascii="Times New Roman" w:hAnsi="Times New Roman" w:cs="Times New Roman"/>
        </w:rPr>
        <w:t xml:space="preserve">is distinct from the claim that </w:t>
      </w:r>
      <w:r>
        <w:rPr>
          <w:rFonts w:ascii="Times New Roman" w:hAnsi="Times New Roman" w:cs="Times New Roman"/>
        </w:rPr>
        <w:t>the economy</w:t>
      </w:r>
      <w:r w:rsidRPr="00A50FD4">
        <w:rPr>
          <w:rFonts w:ascii="Times New Roman" w:hAnsi="Times New Roman" w:cs="Times New Roman"/>
        </w:rPr>
        <w:t xml:space="preserve"> was above potential pre-crisis</w:t>
      </w:r>
      <w:r>
        <w:t>.</w:t>
      </w:r>
    </w:p>
  </w:footnote>
  <w:footnote w:id="27">
    <w:p w14:paraId="4933B8CE" w14:textId="1830368B" w:rsidR="00E817F7" w:rsidRPr="00A50FD4" w:rsidRDefault="00E817F7">
      <w:pPr>
        <w:pStyle w:val="FootnoteText"/>
        <w:rPr>
          <w:rFonts w:ascii="Times New Roman" w:hAnsi="Times New Roman" w:cs="Times New Roman"/>
        </w:rPr>
      </w:pPr>
      <w:r>
        <w:rPr>
          <w:rStyle w:val="FootnoteReference"/>
        </w:rPr>
        <w:footnoteRef/>
      </w:r>
      <w:r>
        <w:t xml:space="preserve">  </w:t>
      </w:r>
      <w:r w:rsidRPr="00A50FD4">
        <w:rPr>
          <w:rFonts w:ascii="Times New Roman" w:hAnsi="Times New Roman" w:cs="Times New Roman"/>
        </w:rPr>
        <w:t xml:space="preserve">Interested readers should consult section IV of the BIS report, which develops a number of counterarguments.  In particular, the report argues that in recent years the real economy has become less sensitive to the policy rate while property and other asset values have become more sensitive. This section of the report also </w:t>
      </w:r>
      <w:r>
        <w:rPr>
          <w:rFonts w:ascii="Times New Roman" w:hAnsi="Times New Roman" w:cs="Times New Roman"/>
        </w:rPr>
        <w:t>challenges</w:t>
      </w:r>
      <w:r w:rsidRPr="00A50FD4">
        <w:rPr>
          <w:rFonts w:ascii="Times New Roman" w:hAnsi="Times New Roman" w:cs="Times New Roman"/>
        </w:rPr>
        <w:t xml:space="preserve"> the empirical importance of Fisher’s debt deflation mechanism outside of the interwar years (p. 79), and argues that we should be less afraid about the prospect of deflation, which in some instances reflects positive supply shocks rather than deficiencies in the growth of aggregate demand.</w:t>
      </w:r>
    </w:p>
  </w:footnote>
  <w:footnote w:id="28">
    <w:p w14:paraId="4CAA8752" w14:textId="77777777" w:rsidR="00E817F7" w:rsidRDefault="00E817F7" w:rsidP="008A106B">
      <w:pPr>
        <w:pStyle w:val="FootnoteText"/>
      </w:pPr>
      <w:r w:rsidRPr="00A50FD4">
        <w:rPr>
          <w:rStyle w:val="FootnoteReference"/>
          <w:rFonts w:ascii="Times New Roman" w:hAnsi="Times New Roman" w:cs="Times New Roman"/>
        </w:rPr>
        <w:footnoteRef/>
      </w:r>
      <w:r w:rsidRPr="00A50FD4">
        <w:rPr>
          <w:rFonts w:ascii="Times New Roman" w:hAnsi="Times New Roman" w:cs="Times New Roman"/>
        </w:rPr>
        <w:t xml:space="preserve"> But see Postel-Vinay (2015), which describes the role second mortgages in the 1920s effectively increased leverage in many instances.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C092D"/>
    <w:multiLevelType w:val="hybridMultilevel"/>
    <w:tmpl w:val="6A8C1C26"/>
    <w:lvl w:ilvl="0" w:tplc="22B62150">
      <w:start w:val="1"/>
      <w:numFmt w:val="bullet"/>
      <w:lvlText w:val=""/>
      <w:lvlJc w:val="left"/>
      <w:pPr>
        <w:tabs>
          <w:tab w:val="num" w:pos="720"/>
        </w:tabs>
        <w:ind w:left="720" w:hanging="360"/>
      </w:pPr>
      <w:rPr>
        <w:rFonts w:ascii="Wingdings" w:hAnsi="Wingdings" w:hint="default"/>
      </w:rPr>
    </w:lvl>
    <w:lvl w:ilvl="1" w:tplc="46361018" w:tentative="1">
      <w:start w:val="1"/>
      <w:numFmt w:val="bullet"/>
      <w:lvlText w:val=""/>
      <w:lvlJc w:val="left"/>
      <w:pPr>
        <w:tabs>
          <w:tab w:val="num" w:pos="1440"/>
        </w:tabs>
        <w:ind w:left="1440" w:hanging="360"/>
      </w:pPr>
      <w:rPr>
        <w:rFonts w:ascii="Wingdings" w:hAnsi="Wingdings" w:hint="default"/>
      </w:rPr>
    </w:lvl>
    <w:lvl w:ilvl="2" w:tplc="DE90DE12" w:tentative="1">
      <w:start w:val="1"/>
      <w:numFmt w:val="bullet"/>
      <w:lvlText w:val=""/>
      <w:lvlJc w:val="left"/>
      <w:pPr>
        <w:tabs>
          <w:tab w:val="num" w:pos="2160"/>
        </w:tabs>
        <w:ind w:left="2160" w:hanging="360"/>
      </w:pPr>
      <w:rPr>
        <w:rFonts w:ascii="Wingdings" w:hAnsi="Wingdings" w:hint="default"/>
      </w:rPr>
    </w:lvl>
    <w:lvl w:ilvl="3" w:tplc="F822F9B8" w:tentative="1">
      <w:start w:val="1"/>
      <w:numFmt w:val="bullet"/>
      <w:lvlText w:val=""/>
      <w:lvlJc w:val="left"/>
      <w:pPr>
        <w:tabs>
          <w:tab w:val="num" w:pos="2880"/>
        </w:tabs>
        <w:ind w:left="2880" w:hanging="360"/>
      </w:pPr>
      <w:rPr>
        <w:rFonts w:ascii="Wingdings" w:hAnsi="Wingdings" w:hint="default"/>
      </w:rPr>
    </w:lvl>
    <w:lvl w:ilvl="4" w:tplc="AC12A7B2" w:tentative="1">
      <w:start w:val="1"/>
      <w:numFmt w:val="bullet"/>
      <w:lvlText w:val=""/>
      <w:lvlJc w:val="left"/>
      <w:pPr>
        <w:tabs>
          <w:tab w:val="num" w:pos="3600"/>
        </w:tabs>
        <w:ind w:left="3600" w:hanging="360"/>
      </w:pPr>
      <w:rPr>
        <w:rFonts w:ascii="Wingdings" w:hAnsi="Wingdings" w:hint="default"/>
      </w:rPr>
    </w:lvl>
    <w:lvl w:ilvl="5" w:tplc="C55CD522" w:tentative="1">
      <w:start w:val="1"/>
      <w:numFmt w:val="bullet"/>
      <w:lvlText w:val=""/>
      <w:lvlJc w:val="left"/>
      <w:pPr>
        <w:tabs>
          <w:tab w:val="num" w:pos="4320"/>
        </w:tabs>
        <w:ind w:left="4320" w:hanging="360"/>
      </w:pPr>
      <w:rPr>
        <w:rFonts w:ascii="Wingdings" w:hAnsi="Wingdings" w:hint="default"/>
      </w:rPr>
    </w:lvl>
    <w:lvl w:ilvl="6" w:tplc="1040B01A" w:tentative="1">
      <w:start w:val="1"/>
      <w:numFmt w:val="bullet"/>
      <w:lvlText w:val=""/>
      <w:lvlJc w:val="left"/>
      <w:pPr>
        <w:tabs>
          <w:tab w:val="num" w:pos="5040"/>
        </w:tabs>
        <w:ind w:left="5040" w:hanging="360"/>
      </w:pPr>
      <w:rPr>
        <w:rFonts w:ascii="Wingdings" w:hAnsi="Wingdings" w:hint="default"/>
      </w:rPr>
    </w:lvl>
    <w:lvl w:ilvl="7" w:tplc="6A3636DE" w:tentative="1">
      <w:start w:val="1"/>
      <w:numFmt w:val="bullet"/>
      <w:lvlText w:val=""/>
      <w:lvlJc w:val="left"/>
      <w:pPr>
        <w:tabs>
          <w:tab w:val="num" w:pos="5760"/>
        </w:tabs>
        <w:ind w:left="5760" w:hanging="360"/>
      </w:pPr>
      <w:rPr>
        <w:rFonts w:ascii="Wingdings" w:hAnsi="Wingdings" w:hint="default"/>
      </w:rPr>
    </w:lvl>
    <w:lvl w:ilvl="8" w:tplc="2E66734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trackRevision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8F"/>
    <w:rsid w:val="00002ECB"/>
    <w:rsid w:val="0000711A"/>
    <w:rsid w:val="00007E91"/>
    <w:rsid w:val="0001345D"/>
    <w:rsid w:val="00014B57"/>
    <w:rsid w:val="0001797B"/>
    <w:rsid w:val="000229A0"/>
    <w:rsid w:val="0002374D"/>
    <w:rsid w:val="00023B6C"/>
    <w:rsid w:val="000408E6"/>
    <w:rsid w:val="00046F74"/>
    <w:rsid w:val="00047C29"/>
    <w:rsid w:val="00050F9D"/>
    <w:rsid w:val="00060DBB"/>
    <w:rsid w:val="00061CB8"/>
    <w:rsid w:val="000668DE"/>
    <w:rsid w:val="0007276B"/>
    <w:rsid w:val="0007565D"/>
    <w:rsid w:val="00085FB6"/>
    <w:rsid w:val="00092C71"/>
    <w:rsid w:val="000A54C2"/>
    <w:rsid w:val="000B0C54"/>
    <w:rsid w:val="000C4F53"/>
    <w:rsid w:val="000C7121"/>
    <w:rsid w:val="000E2175"/>
    <w:rsid w:val="000E35DB"/>
    <w:rsid w:val="000F7679"/>
    <w:rsid w:val="00110B0D"/>
    <w:rsid w:val="00112D84"/>
    <w:rsid w:val="00120970"/>
    <w:rsid w:val="00126FF7"/>
    <w:rsid w:val="00133A43"/>
    <w:rsid w:val="001373B7"/>
    <w:rsid w:val="0014508B"/>
    <w:rsid w:val="0015004E"/>
    <w:rsid w:val="00151716"/>
    <w:rsid w:val="00152160"/>
    <w:rsid w:val="00160E55"/>
    <w:rsid w:val="0016228D"/>
    <w:rsid w:val="00166B9A"/>
    <w:rsid w:val="00173903"/>
    <w:rsid w:val="00173C63"/>
    <w:rsid w:val="001749C1"/>
    <w:rsid w:val="0017684D"/>
    <w:rsid w:val="0018167D"/>
    <w:rsid w:val="00182650"/>
    <w:rsid w:val="00194AF9"/>
    <w:rsid w:val="001975D2"/>
    <w:rsid w:val="00197E2D"/>
    <w:rsid w:val="001A1E1E"/>
    <w:rsid w:val="001A777F"/>
    <w:rsid w:val="001B5CE0"/>
    <w:rsid w:val="001B618B"/>
    <w:rsid w:val="001B72C7"/>
    <w:rsid w:val="001C0501"/>
    <w:rsid w:val="001C293E"/>
    <w:rsid w:val="001C3087"/>
    <w:rsid w:val="001C5BCA"/>
    <w:rsid w:val="001C5F55"/>
    <w:rsid w:val="001C6C15"/>
    <w:rsid w:val="001C7476"/>
    <w:rsid w:val="001D0474"/>
    <w:rsid w:val="001D3674"/>
    <w:rsid w:val="001D6E27"/>
    <w:rsid w:val="001E0A59"/>
    <w:rsid w:val="001E2AC3"/>
    <w:rsid w:val="001E3641"/>
    <w:rsid w:val="001E538E"/>
    <w:rsid w:val="001F4433"/>
    <w:rsid w:val="00201985"/>
    <w:rsid w:val="002033EC"/>
    <w:rsid w:val="00203C4A"/>
    <w:rsid w:val="0020631F"/>
    <w:rsid w:val="00206515"/>
    <w:rsid w:val="0021220C"/>
    <w:rsid w:val="00215F93"/>
    <w:rsid w:val="00216B94"/>
    <w:rsid w:val="00221477"/>
    <w:rsid w:val="00232ED2"/>
    <w:rsid w:val="00234739"/>
    <w:rsid w:val="00234740"/>
    <w:rsid w:val="002369F8"/>
    <w:rsid w:val="002449FB"/>
    <w:rsid w:val="002465E3"/>
    <w:rsid w:val="00246668"/>
    <w:rsid w:val="00253EF0"/>
    <w:rsid w:val="00256412"/>
    <w:rsid w:val="0025722D"/>
    <w:rsid w:val="00262E44"/>
    <w:rsid w:val="00276B30"/>
    <w:rsid w:val="002822E4"/>
    <w:rsid w:val="00282730"/>
    <w:rsid w:val="00286FA8"/>
    <w:rsid w:val="00287C11"/>
    <w:rsid w:val="0029393B"/>
    <w:rsid w:val="00294F7D"/>
    <w:rsid w:val="00295D31"/>
    <w:rsid w:val="00296A86"/>
    <w:rsid w:val="002A11BC"/>
    <w:rsid w:val="002A215D"/>
    <w:rsid w:val="002A2796"/>
    <w:rsid w:val="002B7871"/>
    <w:rsid w:val="002C7341"/>
    <w:rsid w:val="002D1887"/>
    <w:rsid w:val="002E2480"/>
    <w:rsid w:val="002E2EC1"/>
    <w:rsid w:val="002E6947"/>
    <w:rsid w:val="002F0CC9"/>
    <w:rsid w:val="00307762"/>
    <w:rsid w:val="00312BE8"/>
    <w:rsid w:val="003144FD"/>
    <w:rsid w:val="00317C03"/>
    <w:rsid w:val="00323450"/>
    <w:rsid w:val="003261E0"/>
    <w:rsid w:val="00326B80"/>
    <w:rsid w:val="00330168"/>
    <w:rsid w:val="00334DEC"/>
    <w:rsid w:val="0033600C"/>
    <w:rsid w:val="0035055E"/>
    <w:rsid w:val="00352820"/>
    <w:rsid w:val="00360717"/>
    <w:rsid w:val="00361204"/>
    <w:rsid w:val="0036431D"/>
    <w:rsid w:val="00364F39"/>
    <w:rsid w:val="003721DB"/>
    <w:rsid w:val="0037425D"/>
    <w:rsid w:val="003814E0"/>
    <w:rsid w:val="003855D1"/>
    <w:rsid w:val="00386894"/>
    <w:rsid w:val="00386DA0"/>
    <w:rsid w:val="00390D27"/>
    <w:rsid w:val="003A2E7F"/>
    <w:rsid w:val="003B3A1E"/>
    <w:rsid w:val="003B5A6A"/>
    <w:rsid w:val="003C61D3"/>
    <w:rsid w:val="003C6A33"/>
    <w:rsid w:val="003C6B06"/>
    <w:rsid w:val="003D6B75"/>
    <w:rsid w:val="003E3A94"/>
    <w:rsid w:val="003E3BC1"/>
    <w:rsid w:val="003F0E0B"/>
    <w:rsid w:val="0040208F"/>
    <w:rsid w:val="00413240"/>
    <w:rsid w:val="00413840"/>
    <w:rsid w:val="004211EB"/>
    <w:rsid w:val="00421659"/>
    <w:rsid w:val="00422648"/>
    <w:rsid w:val="004257B3"/>
    <w:rsid w:val="00425F40"/>
    <w:rsid w:val="00434D7F"/>
    <w:rsid w:val="004415EE"/>
    <w:rsid w:val="004502D2"/>
    <w:rsid w:val="00450923"/>
    <w:rsid w:val="004606B5"/>
    <w:rsid w:val="0046171C"/>
    <w:rsid w:val="00463681"/>
    <w:rsid w:val="0047312E"/>
    <w:rsid w:val="00474814"/>
    <w:rsid w:val="00476306"/>
    <w:rsid w:val="004766D0"/>
    <w:rsid w:val="00484DE1"/>
    <w:rsid w:val="0049025E"/>
    <w:rsid w:val="0049247A"/>
    <w:rsid w:val="00492F15"/>
    <w:rsid w:val="00493626"/>
    <w:rsid w:val="004949DA"/>
    <w:rsid w:val="004A2730"/>
    <w:rsid w:val="004A307B"/>
    <w:rsid w:val="004C003D"/>
    <w:rsid w:val="004C512D"/>
    <w:rsid w:val="004C5933"/>
    <w:rsid w:val="004E03A1"/>
    <w:rsid w:val="004F4232"/>
    <w:rsid w:val="004F6EED"/>
    <w:rsid w:val="0050156E"/>
    <w:rsid w:val="00504D9B"/>
    <w:rsid w:val="005059FE"/>
    <w:rsid w:val="00517F9C"/>
    <w:rsid w:val="00521DFE"/>
    <w:rsid w:val="00523961"/>
    <w:rsid w:val="005279B0"/>
    <w:rsid w:val="00535C6B"/>
    <w:rsid w:val="005365C4"/>
    <w:rsid w:val="005371ED"/>
    <w:rsid w:val="00550606"/>
    <w:rsid w:val="00551AC1"/>
    <w:rsid w:val="00552406"/>
    <w:rsid w:val="005539D0"/>
    <w:rsid w:val="00562883"/>
    <w:rsid w:val="00570687"/>
    <w:rsid w:val="0057119D"/>
    <w:rsid w:val="0057566A"/>
    <w:rsid w:val="00577517"/>
    <w:rsid w:val="005802E6"/>
    <w:rsid w:val="00583B06"/>
    <w:rsid w:val="0058648B"/>
    <w:rsid w:val="00593CFD"/>
    <w:rsid w:val="005A5CD4"/>
    <w:rsid w:val="005A62F8"/>
    <w:rsid w:val="005B3CF5"/>
    <w:rsid w:val="005B3D50"/>
    <w:rsid w:val="005B5865"/>
    <w:rsid w:val="005C0666"/>
    <w:rsid w:val="005C3787"/>
    <w:rsid w:val="005C783E"/>
    <w:rsid w:val="005D3F73"/>
    <w:rsid w:val="005D4CBB"/>
    <w:rsid w:val="005D6CB1"/>
    <w:rsid w:val="005E13B0"/>
    <w:rsid w:val="005E4DBA"/>
    <w:rsid w:val="005E646C"/>
    <w:rsid w:val="005F15BF"/>
    <w:rsid w:val="005F3006"/>
    <w:rsid w:val="00603455"/>
    <w:rsid w:val="006053D3"/>
    <w:rsid w:val="00605B5A"/>
    <w:rsid w:val="0060728B"/>
    <w:rsid w:val="006108F5"/>
    <w:rsid w:val="006112AF"/>
    <w:rsid w:val="006122F0"/>
    <w:rsid w:val="006236D7"/>
    <w:rsid w:val="006377AB"/>
    <w:rsid w:val="006417BB"/>
    <w:rsid w:val="00643C44"/>
    <w:rsid w:val="0065205E"/>
    <w:rsid w:val="006527EA"/>
    <w:rsid w:val="00654179"/>
    <w:rsid w:val="0065490B"/>
    <w:rsid w:val="00657D32"/>
    <w:rsid w:val="00660148"/>
    <w:rsid w:val="00661E64"/>
    <w:rsid w:val="00662DEF"/>
    <w:rsid w:val="0066684F"/>
    <w:rsid w:val="00670C18"/>
    <w:rsid w:val="00672CE0"/>
    <w:rsid w:val="00674E43"/>
    <w:rsid w:val="00682A82"/>
    <w:rsid w:val="00690A57"/>
    <w:rsid w:val="00697E26"/>
    <w:rsid w:val="006A083B"/>
    <w:rsid w:val="006A2537"/>
    <w:rsid w:val="006A58D6"/>
    <w:rsid w:val="006B5C87"/>
    <w:rsid w:val="006C290C"/>
    <w:rsid w:val="006C369A"/>
    <w:rsid w:val="006C66D1"/>
    <w:rsid w:val="006C6A70"/>
    <w:rsid w:val="006D15AD"/>
    <w:rsid w:val="006D365E"/>
    <w:rsid w:val="006D4A44"/>
    <w:rsid w:val="006D5DA8"/>
    <w:rsid w:val="006E1BF7"/>
    <w:rsid w:val="006E23C4"/>
    <w:rsid w:val="006E56C8"/>
    <w:rsid w:val="006E5CBA"/>
    <w:rsid w:val="00706422"/>
    <w:rsid w:val="007122C8"/>
    <w:rsid w:val="00712D1C"/>
    <w:rsid w:val="00722267"/>
    <w:rsid w:val="00722AA7"/>
    <w:rsid w:val="00724260"/>
    <w:rsid w:val="00724FC7"/>
    <w:rsid w:val="00755879"/>
    <w:rsid w:val="00756DD4"/>
    <w:rsid w:val="0076407C"/>
    <w:rsid w:val="00764D9E"/>
    <w:rsid w:val="00767ABB"/>
    <w:rsid w:val="00773FCE"/>
    <w:rsid w:val="007804D7"/>
    <w:rsid w:val="007826E3"/>
    <w:rsid w:val="007833F6"/>
    <w:rsid w:val="0078367E"/>
    <w:rsid w:val="00784D44"/>
    <w:rsid w:val="00785A96"/>
    <w:rsid w:val="0079102C"/>
    <w:rsid w:val="007915FD"/>
    <w:rsid w:val="0079667B"/>
    <w:rsid w:val="007A4EB7"/>
    <w:rsid w:val="007B20AD"/>
    <w:rsid w:val="007B2E6E"/>
    <w:rsid w:val="007C3650"/>
    <w:rsid w:val="007C5E79"/>
    <w:rsid w:val="007E0F99"/>
    <w:rsid w:val="007E1304"/>
    <w:rsid w:val="007E7C65"/>
    <w:rsid w:val="007F2B53"/>
    <w:rsid w:val="007F39BF"/>
    <w:rsid w:val="007F55BD"/>
    <w:rsid w:val="007F56EA"/>
    <w:rsid w:val="007F747F"/>
    <w:rsid w:val="007F7E5C"/>
    <w:rsid w:val="0080356C"/>
    <w:rsid w:val="008208D6"/>
    <w:rsid w:val="00825E19"/>
    <w:rsid w:val="00827542"/>
    <w:rsid w:val="0084564A"/>
    <w:rsid w:val="008553EE"/>
    <w:rsid w:val="00857B21"/>
    <w:rsid w:val="00873925"/>
    <w:rsid w:val="00876D58"/>
    <w:rsid w:val="008846B2"/>
    <w:rsid w:val="008A106B"/>
    <w:rsid w:val="008A1EC1"/>
    <w:rsid w:val="008A3195"/>
    <w:rsid w:val="008A35F7"/>
    <w:rsid w:val="008B182A"/>
    <w:rsid w:val="008B547E"/>
    <w:rsid w:val="008B5FA8"/>
    <w:rsid w:val="008B6301"/>
    <w:rsid w:val="008C0052"/>
    <w:rsid w:val="008D228C"/>
    <w:rsid w:val="008D78ED"/>
    <w:rsid w:val="008E04F7"/>
    <w:rsid w:val="008E3012"/>
    <w:rsid w:val="008E4BAF"/>
    <w:rsid w:val="008E53FC"/>
    <w:rsid w:val="008F4DCC"/>
    <w:rsid w:val="009112A3"/>
    <w:rsid w:val="00911ECA"/>
    <w:rsid w:val="00913FC7"/>
    <w:rsid w:val="00915707"/>
    <w:rsid w:val="00916CD1"/>
    <w:rsid w:val="00923B71"/>
    <w:rsid w:val="00927B2E"/>
    <w:rsid w:val="009409E6"/>
    <w:rsid w:val="009465DB"/>
    <w:rsid w:val="00961FAA"/>
    <w:rsid w:val="00976497"/>
    <w:rsid w:val="00984217"/>
    <w:rsid w:val="00984604"/>
    <w:rsid w:val="0099387D"/>
    <w:rsid w:val="009A3085"/>
    <w:rsid w:val="009B1D1B"/>
    <w:rsid w:val="009B2713"/>
    <w:rsid w:val="009B7E84"/>
    <w:rsid w:val="009C191F"/>
    <w:rsid w:val="009C33FA"/>
    <w:rsid w:val="009C3DDD"/>
    <w:rsid w:val="009C4183"/>
    <w:rsid w:val="009D1923"/>
    <w:rsid w:val="009D1E41"/>
    <w:rsid w:val="009F3FFE"/>
    <w:rsid w:val="00A1245B"/>
    <w:rsid w:val="00A13CF9"/>
    <w:rsid w:val="00A17669"/>
    <w:rsid w:val="00A274FD"/>
    <w:rsid w:val="00A277F0"/>
    <w:rsid w:val="00A35A63"/>
    <w:rsid w:val="00A37FF0"/>
    <w:rsid w:val="00A445BA"/>
    <w:rsid w:val="00A50FD4"/>
    <w:rsid w:val="00A6477C"/>
    <w:rsid w:val="00A73EF9"/>
    <w:rsid w:val="00A744BA"/>
    <w:rsid w:val="00A74B8F"/>
    <w:rsid w:val="00A758C7"/>
    <w:rsid w:val="00A76BF1"/>
    <w:rsid w:val="00A84564"/>
    <w:rsid w:val="00A87FB5"/>
    <w:rsid w:val="00A94C92"/>
    <w:rsid w:val="00A94F3B"/>
    <w:rsid w:val="00A959EB"/>
    <w:rsid w:val="00A96D6D"/>
    <w:rsid w:val="00AA1307"/>
    <w:rsid w:val="00AB0D97"/>
    <w:rsid w:val="00AB3ED5"/>
    <w:rsid w:val="00AB4603"/>
    <w:rsid w:val="00AB62C9"/>
    <w:rsid w:val="00AD60B5"/>
    <w:rsid w:val="00AE2B91"/>
    <w:rsid w:val="00AE34F2"/>
    <w:rsid w:val="00AF3CEC"/>
    <w:rsid w:val="00AF3F52"/>
    <w:rsid w:val="00AF70A0"/>
    <w:rsid w:val="00AF7AFC"/>
    <w:rsid w:val="00B05EAF"/>
    <w:rsid w:val="00B119BA"/>
    <w:rsid w:val="00B23CC9"/>
    <w:rsid w:val="00B25643"/>
    <w:rsid w:val="00B25712"/>
    <w:rsid w:val="00B31BEC"/>
    <w:rsid w:val="00B34DD1"/>
    <w:rsid w:val="00B37003"/>
    <w:rsid w:val="00B37FED"/>
    <w:rsid w:val="00B4210D"/>
    <w:rsid w:val="00B423CC"/>
    <w:rsid w:val="00B450A0"/>
    <w:rsid w:val="00B532B9"/>
    <w:rsid w:val="00B5560B"/>
    <w:rsid w:val="00B649E5"/>
    <w:rsid w:val="00B74CCB"/>
    <w:rsid w:val="00B81051"/>
    <w:rsid w:val="00B81B56"/>
    <w:rsid w:val="00B83D14"/>
    <w:rsid w:val="00B84294"/>
    <w:rsid w:val="00B86168"/>
    <w:rsid w:val="00B97FCF"/>
    <w:rsid w:val="00BA318B"/>
    <w:rsid w:val="00BA50B7"/>
    <w:rsid w:val="00BA7506"/>
    <w:rsid w:val="00BB4533"/>
    <w:rsid w:val="00BC1459"/>
    <w:rsid w:val="00BC1803"/>
    <w:rsid w:val="00BC2731"/>
    <w:rsid w:val="00BC6D8E"/>
    <w:rsid w:val="00BC767B"/>
    <w:rsid w:val="00BC7B8A"/>
    <w:rsid w:val="00BD6E45"/>
    <w:rsid w:val="00BE269D"/>
    <w:rsid w:val="00BE5694"/>
    <w:rsid w:val="00BF3F0F"/>
    <w:rsid w:val="00C02A48"/>
    <w:rsid w:val="00C02F85"/>
    <w:rsid w:val="00C031EF"/>
    <w:rsid w:val="00C070F9"/>
    <w:rsid w:val="00C125FD"/>
    <w:rsid w:val="00C23FAD"/>
    <w:rsid w:val="00C31A6F"/>
    <w:rsid w:val="00C349DA"/>
    <w:rsid w:val="00C371A0"/>
    <w:rsid w:val="00C44F5C"/>
    <w:rsid w:val="00C4768D"/>
    <w:rsid w:val="00C518A3"/>
    <w:rsid w:val="00C5344E"/>
    <w:rsid w:val="00C62B54"/>
    <w:rsid w:val="00C66233"/>
    <w:rsid w:val="00C67C42"/>
    <w:rsid w:val="00C72220"/>
    <w:rsid w:val="00C73995"/>
    <w:rsid w:val="00C763C2"/>
    <w:rsid w:val="00C77B27"/>
    <w:rsid w:val="00C83013"/>
    <w:rsid w:val="00C83628"/>
    <w:rsid w:val="00C91E5B"/>
    <w:rsid w:val="00C938ED"/>
    <w:rsid w:val="00CA187D"/>
    <w:rsid w:val="00CA35EF"/>
    <w:rsid w:val="00CA613A"/>
    <w:rsid w:val="00CB7E3A"/>
    <w:rsid w:val="00CC4D30"/>
    <w:rsid w:val="00CC50A0"/>
    <w:rsid w:val="00CD6082"/>
    <w:rsid w:val="00CE4519"/>
    <w:rsid w:val="00D05C12"/>
    <w:rsid w:val="00D21DED"/>
    <w:rsid w:val="00D25232"/>
    <w:rsid w:val="00D31F5F"/>
    <w:rsid w:val="00D34AD3"/>
    <w:rsid w:val="00D35023"/>
    <w:rsid w:val="00D3580D"/>
    <w:rsid w:val="00D35E4F"/>
    <w:rsid w:val="00D37CBC"/>
    <w:rsid w:val="00D40DEB"/>
    <w:rsid w:val="00D45885"/>
    <w:rsid w:val="00D47DCE"/>
    <w:rsid w:val="00D5335D"/>
    <w:rsid w:val="00D55CA8"/>
    <w:rsid w:val="00D609EA"/>
    <w:rsid w:val="00D62A5E"/>
    <w:rsid w:val="00D71D50"/>
    <w:rsid w:val="00D738C4"/>
    <w:rsid w:val="00D77226"/>
    <w:rsid w:val="00D777FE"/>
    <w:rsid w:val="00D9230D"/>
    <w:rsid w:val="00DA1076"/>
    <w:rsid w:val="00DA63E7"/>
    <w:rsid w:val="00DB044E"/>
    <w:rsid w:val="00DB36F6"/>
    <w:rsid w:val="00DB52BD"/>
    <w:rsid w:val="00DC1EF3"/>
    <w:rsid w:val="00DC2E2A"/>
    <w:rsid w:val="00DC6EAE"/>
    <w:rsid w:val="00DE3790"/>
    <w:rsid w:val="00DF0A0C"/>
    <w:rsid w:val="00DF4DAA"/>
    <w:rsid w:val="00DF6635"/>
    <w:rsid w:val="00DF6C05"/>
    <w:rsid w:val="00E00390"/>
    <w:rsid w:val="00E05788"/>
    <w:rsid w:val="00E0662C"/>
    <w:rsid w:val="00E078CF"/>
    <w:rsid w:val="00E131A1"/>
    <w:rsid w:val="00E338DF"/>
    <w:rsid w:val="00E35BAC"/>
    <w:rsid w:val="00E41E78"/>
    <w:rsid w:val="00E43817"/>
    <w:rsid w:val="00E44B8D"/>
    <w:rsid w:val="00E4671B"/>
    <w:rsid w:val="00E560CF"/>
    <w:rsid w:val="00E6051C"/>
    <w:rsid w:val="00E7576E"/>
    <w:rsid w:val="00E769A0"/>
    <w:rsid w:val="00E817F7"/>
    <w:rsid w:val="00E84921"/>
    <w:rsid w:val="00E86943"/>
    <w:rsid w:val="00E9265A"/>
    <w:rsid w:val="00E92720"/>
    <w:rsid w:val="00E94FFE"/>
    <w:rsid w:val="00E95A1F"/>
    <w:rsid w:val="00E9624A"/>
    <w:rsid w:val="00E96B85"/>
    <w:rsid w:val="00E97D9D"/>
    <w:rsid w:val="00EB1A05"/>
    <w:rsid w:val="00EB6937"/>
    <w:rsid w:val="00EC0072"/>
    <w:rsid w:val="00EC33EF"/>
    <w:rsid w:val="00ED234B"/>
    <w:rsid w:val="00ED44CC"/>
    <w:rsid w:val="00ED5FED"/>
    <w:rsid w:val="00ED75F0"/>
    <w:rsid w:val="00EE00EC"/>
    <w:rsid w:val="00EE6B90"/>
    <w:rsid w:val="00F010ED"/>
    <w:rsid w:val="00F07236"/>
    <w:rsid w:val="00F13286"/>
    <w:rsid w:val="00F140D9"/>
    <w:rsid w:val="00F161E4"/>
    <w:rsid w:val="00F27420"/>
    <w:rsid w:val="00F35C44"/>
    <w:rsid w:val="00F3644E"/>
    <w:rsid w:val="00F460F2"/>
    <w:rsid w:val="00F555F3"/>
    <w:rsid w:val="00F56339"/>
    <w:rsid w:val="00F64450"/>
    <w:rsid w:val="00F6530C"/>
    <w:rsid w:val="00F81DA3"/>
    <w:rsid w:val="00F93351"/>
    <w:rsid w:val="00F9781C"/>
    <w:rsid w:val="00FA3F66"/>
    <w:rsid w:val="00FA7656"/>
    <w:rsid w:val="00FC15AC"/>
    <w:rsid w:val="00FC518B"/>
    <w:rsid w:val="00FD1AC3"/>
    <w:rsid w:val="00FD2890"/>
    <w:rsid w:val="00FD708A"/>
    <w:rsid w:val="00FE0155"/>
    <w:rsid w:val="00FE2079"/>
    <w:rsid w:val="00FE4CE3"/>
    <w:rsid w:val="00FE5621"/>
    <w:rsid w:val="00FE7892"/>
    <w:rsid w:val="00FF1226"/>
    <w:rsid w:val="00FF1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664C88C"/>
  <w15:chartTrackingRefBased/>
  <w15:docId w15:val="{518DE70D-A17B-4054-92AF-A3FEAD5A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08F"/>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2267"/>
    <w:rPr>
      <w:sz w:val="16"/>
      <w:szCs w:val="16"/>
    </w:rPr>
  </w:style>
  <w:style w:type="paragraph" w:styleId="CommentText">
    <w:name w:val="annotation text"/>
    <w:basedOn w:val="Normal"/>
    <w:link w:val="CommentTextChar"/>
    <w:uiPriority w:val="99"/>
    <w:semiHidden/>
    <w:unhideWhenUsed/>
    <w:rsid w:val="00722267"/>
    <w:pPr>
      <w:spacing w:line="240" w:lineRule="auto"/>
    </w:pPr>
    <w:rPr>
      <w:sz w:val="20"/>
      <w:szCs w:val="20"/>
    </w:rPr>
  </w:style>
  <w:style w:type="character" w:customStyle="1" w:styleId="CommentTextChar">
    <w:name w:val="Comment Text Char"/>
    <w:basedOn w:val="DefaultParagraphFont"/>
    <w:link w:val="CommentText"/>
    <w:uiPriority w:val="99"/>
    <w:semiHidden/>
    <w:rsid w:val="00722267"/>
    <w:rPr>
      <w:sz w:val="20"/>
      <w:szCs w:val="20"/>
    </w:rPr>
  </w:style>
  <w:style w:type="paragraph" w:styleId="CommentSubject">
    <w:name w:val="annotation subject"/>
    <w:basedOn w:val="CommentText"/>
    <w:next w:val="CommentText"/>
    <w:link w:val="CommentSubjectChar"/>
    <w:uiPriority w:val="99"/>
    <w:semiHidden/>
    <w:unhideWhenUsed/>
    <w:rsid w:val="00722267"/>
    <w:rPr>
      <w:b/>
      <w:bCs/>
    </w:rPr>
  </w:style>
  <w:style w:type="character" w:customStyle="1" w:styleId="CommentSubjectChar">
    <w:name w:val="Comment Subject Char"/>
    <w:basedOn w:val="CommentTextChar"/>
    <w:link w:val="CommentSubject"/>
    <w:uiPriority w:val="99"/>
    <w:semiHidden/>
    <w:rsid w:val="00722267"/>
    <w:rPr>
      <w:b/>
      <w:bCs/>
      <w:sz w:val="20"/>
      <w:szCs w:val="20"/>
    </w:rPr>
  </w:style>
  <w:style w:type="paragraph" w:styleId="BalloonText">
    <w:name w:val="Balloon Text"/>
    <w:basedOn w:val="Normal"/>
    <w:link w:val="BalloonTextChar"/>
    <w:uiPriority w:val="99"/>
    <w:semiHidden/>
    <w:unhideWhenUsed/>
    <w:rsid w:val="00722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267"/>
    <w:rPr>
      <w:rFonts w:ascii="Segoe UI" w:hAnsi="Segoe UI" w:cs="Segoe UI"/>
      <w:sz w:val="18"/>
      <w:szCs w:val="18"/>
    </w:rPr>
  </w:style>
  <w:style w:type="character" w:styleId="Hyperlink">
    <w:name w:val="Hyperlink"/>
    <w:basedOn w:val="DefaultParagraphFont"/>
    <w:uiPriority w:val="99"/>
    <w:unhideWhenUsed/>
    <w:rsid w:val="00EB6937"/>
    <w:rPr>
      <w:color w:val="0563C1" w:themeColor="hyperlink"/>
      <w:u w:val="single"/>
    </w:rPr>
  </w:style>
  <w:style w:type="paragraph" w:styleId="Header">
    <w:name w:val="header"/>
    <w:basedOn w:val="Normal"/>
    <w:link w:val="HeaderChar"/>
    <w:uiPriority w:val="99"/>
    <w:unhideWhenUsed/>
    <w:rsid w:val="003E3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BC1"/>
  </w:style>
  <w:style w:type="paragraph" w:styleId="Footer">
    <w:name w:val="footer"/>
    <w:basedOn w:val="Normal"/>
    <w:link w:val="FooterChar"/>
    <w:uiPriority w:val="99"/>
    <w:unhideWhenUsed/>
    <w:rsid w:val="003E3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BC1"/>
  </w:style>
  <w:style w:type="paragraph" w:styleId="FootnoteText">
    <w:name w:val="footnote text"/>
    <w:basedOn w:val="Normal"/>
    <w:link w:val="FootnoteTextChar"/>
    <w:uiPriority w:val="99"/>
    <w:semiHidden/>
    <w:unhideWhenUsed/>
    <w:rsid w:val="009409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09E6"/>
    <w:rPr>
      <w:sz w:val="20"/>
      <w:szCs w:val="20"/>
    </w:rPr>
  </w:style>
  <w:style w:type="character" w:styleId="FootnoteReference">
    <w:name w:val="footnote reference"/>
    <w:basedOn w:val="DefaultParagraphFont"/>
    <w:uiPriority w:val="99"/>
    <w:semiHidden/>
    <w:unhideWhenUsed/>
    <w:rsid w:val="009409E6"/>
    <w:rPr>
      <w:vertAlign w:val="superscript"/>
    </w:rPr>
  </w:style>
  <w:style w:type="character" w:styleId="Emphasis">
    <w:name w:val="Emphasis"/>
    <w:basedOn w:val="DefaultParagraphFont"/>
    <w:uiPriority w:val="20"/>
    <w:qFormat/>
    <w:rsid w:val="00724FC7"/>
    <w:rPr>
      <w:i/>
      <w:iCs/>
    </w:rPr>
  </w:style>
  <w:style w:type="character" w:customStyle="1" w:styleId="apple-converted-space">
    <w:name w:val="apple-converted-space"/>
    <w:basedOn w:val="DefaultParagraphFont"/>
    <w:rsid w:val="00C7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6942">
      <w:bodyDiv w:val="1"/>
      <w:marLeft w:val="0"/>
      <w:marRight w:val="0"/>
      <w:marTop w:val="0"/>
      <w:marBottom w:val="0"/>
      <w:divBdr>
        <w:top w:val="none" w:sz="0" w:space="0" w:color="auto"/>
        <w:left w:val="none" w:sz="0" w:space="0" w:color="auto"/>
        <w:bottom w:val="none" w:sz="0" w:space="0" w:color="auto"/>
        <w:right w:val="none" w:sz="0" w:space="0" w:color="auto"/>
      </w:divBdr>
      <w:divsChild>
        <w:div w:id="1393961053">
          <w:marLeft w:val="0"/>
          <w:marRight w:val="0"/>
          <w:marTop w:val="0"/>
          <w:marBottom w:val="0"/>
          <w:divBdr>
            <w:top w:val="none" w:sz="0" w:space="0" w:color="auto"/>
            <w:left w:val="none" w:sz="0" w:space="0" w:color="auto"/>
            <w:bottom w:val="none" w:sz="0" w:space="0" w:color="auto"/>
            <w:right w:val="none" w:sz="0" w:space="0" w:color="auto"/>
          </w:divBdr>
          <w:divsChild>
            <w:div w:id="1393457760">
              <w:marLeft w:val="0"/>
              <w:marRight w:val="0"/>
              <w:marTop w:val="0"/>
              <w:marBottom w:val="0"/>
              <w:divBdr>
                <w:top w:val="none" w:sz="0" w:space="0" w:color="auto"/>
                <w:left w:val="none" w:sz="0" w:space="0" w:color="auto"/>
                <w:bottom w:val="none" w:sz="0" w:space="0" w:color="auto"/>
                <w:right w:val="none" w:sz="0" w:space="0" w:color="auto"/>
              </w:divBdr>
              <w:divsChild>
                <w:div w:id="11032594">
                  <w:marLeft w:val="0"/>
                  <w:marRight w:val="0"/>
                  <w:marTop w:val="0"/>
                  <w:marBottom w:val="0"/>
                  <w:divBdr>
                    <w:top w:val="none" w:sz="0" w:space="0" w:color="auto"/>
                    <w:left w:val="none" w:sz="0" w:space="0" w:color="auto"/>
                    <w:bottom w:val="none" w:sz="0" w:space="0" w:color="auto"/>
                    <w:right w:val="none" w:sz="0" w:space="0" w:color="auto"/>
                  </w:divBdr>
                  <w:divsChild>
                    <w:div w:id="244187186">
                      <w:marLeft w:val="0"/>
                      <w:marRight w:val="0"/>
                      <w:marTop w:val="0"/>
                      <w:marBottom w:val="0"/>
                      <w:divBdr>
                        <w:top w:val="none" w:sz="0" w:space="0" w:color="auto"/>
                        <w:left w:val="none" w:sz="0" w:space="0" w:color="auto"/>
                        <w:bottom w:val="none" w:sz="0" w:space="0" w:color="auto"/>
                        <w:right w:val="none" w:sz="0" w:space="0" w:color="auto"/>
                      </w:divBdr>
                      <w:divsChild>
                        <w:div w:id="2039577008">
                          <w:marLeft w:val="0"/>
                          <w:marRight w:val="0"/>
                          <w:marTop w:val="0"/>
                          <w:marBottom w:val="0"/>
                          <w:divBdr>
                            <w:top w:val="none" w:sz="0" w:space="0" w:color="auto"/>
                            <w:left w:val="none" w:sz="0" w:space="0" w:color="auto"/>
                            <w:bottom w:val="none" w:sz="0" w:space="0" w:color="auto"/>
                            <w:right w:val="none" w:sz="0" w:space="0" w:color="auto"/>
                          </w:divBdr>
                          <w:divsChild>
                            <w:div w:id="230626465">
                              <w:marLeft w:val="0"/>
                              <w:marRight w:val="0"/>
                              <w:marTop w:val="0"/>
                              <w:marBottom w:val="0"/>
                              <w:divBdr>
                                <w:top w:val="none" w:sz="0" w:space="0" w:color="auto"/>
                                <w:left w:val="none" w:sz="0" w:space="0" w:color="auto"/>
                                <w:bottom w:val="none" w:sz="0" w:space="0" w:color="auto"/>
                                <w:right w:val="none" w:sz="0" w:space="0" w:color="auto"/>
                              </w:divBdr>
                              <w:divsChild>
                                <w:div w:id="608317173">
                                  <w:marLeft w:val="0"/>
                                  <w:marRight w:val="0"/>
                                  <w:marTop w:val="0"/>
                                  <w:marBottom w:val="0"/>
                                  <w:divBdr>
                                    <w:top w:val="none" w:sz="0" w:space="0" w:color="auto"/>
                                    <w:left w:val="none" w:sz="0" w:space="0" w:color="auto"/>
                                    <w:bottom w:val="none" w:sz="0" w:space="0" w:color="auto"/>
                                    <w:right w:val="none" w:sz="0" w:space="0" w:color="auto"/>
                                  </w:divBdr>
                                  <w:divsChild>
                                    <w:div w:id="72750473">
                                      <w:marLeft w:val="0"/>
                                      <w:marRight w:val="0"/>
                                      <w:marTop w:val="0"/>
                                      <w:marBottom w:val="0"/>
                                      <w:divBdr>
                                        <w:top w:val="none" w:sz="0" w:space="0" w:color="auto"/>
                                        <w:left w:val="none" w:sz="0" w:space="0" w:color="auto"/>
                                        <w:bottom w:val="none" w:sz="0" w:space="0" w:color="auto"/>
                                        <w:right w:val="none" w:sz="0" w:space="0" w:color="auto"/>
                                      </w:divBdr>
                                      <w:divsChild>
                                        <w:div w:id="1315333144">
                                          <w:marLeft w:val="0"/>
                                          <w:marRight w:val="0"/>
                                          <w:marTop w:val="0"/>
                                          <w:marBottom w:val="0"/>
                                          <w:divBdr>
                                            <w:top w:val="none" w:sz="0" w:space="0" w:color="auto"/>
                                            <w:left w:val="none" w:sz="0" w:space="0" w:color="auto"/>
                                            <w:bottom w:val="none" w:sz="0" w:space="0" w:color="auto"/>
                                            <w:right w:val="none" w:sz="0" w:space="0" w:color="auto"/>
                                          </w:divBdr>
                                          <w:divsChild>
                                            <w:div w:id="1283001090">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095725">
                                                  <w:marLeft w:val="0"/>
                                                  <w:marRight w:val="0"/>
                                                  <w:marTop w:val="0"/>
                                                  <w:marBottom w:val="0"/>
                                                  <w:divBdr>
                                                    <w:top w:val="none" w:sz="0" w:space="0" w:color="auto"/>
                                                    <w:left w:val="none" w:sz="0" w:space="0" w:color="auto"/>
                                                    <w:bottom w:val="none" w:sz="0" w:space="0" w:color="auto"/>
                                                    <w:right w:val="none" w:sz="0" w:space="0" w:color="auto"/>
                                                  </w:divBdr>
                                                  <w:divsChild>
                                                    <w:div w:id="150292224">
                                                      <w:marLeft w:val="0"/>
                                                      <w:marRight w:val="0"/>
                                                      <w:marTop w:val="0"/>
                                                      <w:marBottom w:val="0"/>
                                                      <w:divBdr>
                                                        <w:top w:val="none" w:sz="0" w:space="0" w:color="auto"/>
                                                        <w:left w:val="none" w:sz="0" w:space="0" w:color="auto"/>
                                                        <w:bottom w:val="none" w:sz="0" w:space="0" w:color="auto"/>
                                                        <w:right w:val="none" w:sz="0" w:space="0" w:color="auto"/>
                                                      </w:divBdr>
                                                      <w:divsChild>
                                                        <w:div w:id="836044731">
                                                          <w:marLeft w:val="0"/>
                                                          <w:marRight w:val="0"/>
                                                          <w:marTop w:val="0"/>
                                                          <w:marBottom w:val="0"/>
                                                          <w:divBdr>
                                                            <w:top w:val="none" w:sz="0" w:space="0" w:color="auto"/>
                                                            <w:left w:val="none" w:sz="0" w:space="0" w:color="auto"/>
                                                            <w:bottom w:val="none" w:sz="0" w:space="0" w:color="auto"/>
                                                            <w:right w:val="none" w:sz="0" w:space="0" w:color="auto"/>
                                                          </w:divBdr>
                                                          <w:divsChild>
                                                            <w:div w:id="917905568">
                                                              <w:marLeft w:val="0"/>
                                                              <w:marRight w:val="0"/>
                                                              <w:marTop w:val="0"/>
                                                              <w:marBottom w:val="0"/>
                                                              <w:divBdr>
                                                                <w:top w:val="none" w:sz="0" w:space="0" w:color="auto"/>
                                                                <w:left w:val="none" w:sz="0" w:space="0" w:color="auto"/>
                                                                <w:bottom w:val="none" w:sz="0" w:space="0" w:color="auto"/>
                                                                <w:right w:val="none" w:sz="0" w:space="0" w:color="auto"/>
                                                              </w:divBdr>
                                                              <w:divsChild>
                                                                <w:div w:id="1132014783">
                                                                  <w:marLeft w:val="0"/>
                                                                  <w:marRight w:val="0"/>
                                                                  <w:marTop w:val="0"/>
                                                                  <w:marBottom w:val="0"/>
                                                                  <w:divBdr>
                                                                    <w:top w:val="none" w:sz="0" w:space="0" w:color="auto"/>
                                                                    <w:left w:val="none" w:sz="0" w:space="0" w:color="auto"/>
                                                                    <w:bottom w:val="none" w:sz="0" w:space="0" w:color="auto"/>
                                                                    <w:right w:val="none" w:sz="0" w:space="0" w:color="auto"/>
                                                                  </w:divBdr>
                                                                  <w:divsChild>
                                                                    <w:div w:id="500894779">
                                                                      <w:marLeft w:val="0"/>
                                                                      <w:marRight w:val="0"/>
                                                                      <w:marTop w:val="0"/>
                                                                      <w:marBottom w:val="0"/>
                                                                      <w:divBdr>
                                                                        <w:top w:val="none" w:sz="0" w:space="0" w:color="auto"/>
                                                                        <w:left w:val="none" w:sz="0" w:space="0" w:color="auto"/>
                                                                        <w:bottom w:val="none" w:sz="0" w:space="0" w:color="auto"/>
                                                                        <w:right w:val="none" w:sz="0" w:space="0" w:color="auto"/>
                                                                      </w:divBdr>
                                                                      <w:divsChild>
                                                                        <w:div w:id="1988242676">
                                                                          <w:marLeft w:val="0"/>
                                                                          <w:marRight w:val="0"/>
                                                                          <w:marTop w:val="0"/>
                                                                          <w:marBottom w:val="0"/>
                                                                          <w:divBdr>
                                                                            <w:top w:val="none" w:sz="0" w:space="0" w:color="auto"/>
                                                                            <w:left w:val="none" w:sz="0" w:space="0" w:color="auto"/>
                                                                            <w:bottom w:val="none" w:sz="0" w:space="0" w:color="auto"/>
                                                                            <w:right w:val="none" w:sz="0" w:space="0" w:color="auto"/>
                                                                          </w:divBdr>
                                                                          <w:divsChild>
                                                                            <w:div w:id="185561352">
                                                                              <w:marLeft w:val="0"/>
                                                                              <w:marRight w:val="0"/>
                                                                              <w:marTop w:val="0"/>
                                                                              <w:marBottom w:val="0"/>
                                                                              <w:divBdr>
                                                                                <w:top w:val="none" w:sz="0" w:space="0" w:color="auto"/>
                                                                                <w:left w:val="none" w:sz="0" w:space="0" w:color="auto"/>
                                                                                <w:bottom w:val="none" w:sz="0" w:space="0" w:color="auto"/>
                                                                                <w:right w:val="none" w:sz="0" w:space="0" w:color="auto"/>
                                                                              </w:divBdr>
                                                                              <w:divsChild>
                                                                                <w:div w:id="23556918">
                                                                                  <w:marLeft w:val="0"/>
                                                                                  <w:marRight w:val="0"/>
                                                                                  <w:marTop w:val="0"/>
                                                                                  <w:marBottom w:val="0"/>
                                                                                  <w:divBdr>
                                                                                    <w:top w:val="none" w:sz="0" w:space="0" w:color="auto"/>
                                                                                    <w:left w:val="none" w:sz="0" w:space="0" w:color="auto"/>
                                                                                    <w:bottom w:val="none" w:sz="0" w:space="0" w:color="auto"/>
                                                                                    <w:right w:val="none" w:sz="0" w:space="0" w:color="auto"/>
                                                                                  </w:divBdr>
                                                                                  <w:divsChild>
                                                                                    <w:div w:id="1459105135">
                                                                                      <w:marLeft w:val="0"/>
                                                                                      <w:marRight w:val="0"/>
                                                                                      <w:marTop w:val="0"/>
                                                                                      <w:marBottom w:val="0"/>
                                                                                      <w:divBdr>
                                                                                        <w:top w:val="none" w:sz="0" w:space="0" w:color="auto"/>
                                                                                        <w:left w:val="none" w:sz="0" w:space="0" w:color="auto"/>
                                                                                        <w:bottom w:val="none" w:sz="0" w:space="0" w:color="auto"/>
                                                                                        <w:right w:val="none" w:sz="0" w:space="0" w:color="auto"/>
                                                                                      </w:divBdr>
                                                                                      <w:divsChild>
                                                                                        <w:div w:id="1394428308">
                                                                                          <w:marLeft w:val="0"/>
                                                                                          <w:marRight w:val="120"/>
                                                                                          <w:marTop w:val="0"/>
                                                                                          <w:marBottom w:val="150"/>
                                                                                          <w:divBdr>
                                                                                            <w:top w:val="single" w:sz="2" w:space="0" w:color="EFEFEF"/>
                                                                                            <w:left w:val="single" w:sz="6" w:space="0" w:color="EFEFEF"/>
                                                                                            <w:bottom w:val="single" w:sz="6" w:space="0" w:color="E2E2E2"/>
                                                                                            <w:right w:val="single" w:sz="6" w:space="0" w:color="EFEFEF"/>
                                                                                          </w:divBdr>
                                                                                          <w:divsChild>
                                                                                            <w:div w:id="2049908537">
                                                                                              <w:marLeft w:val="0"/>
                                                                                              <w:marRight w:val="0"/>
                                                                                              <w:marTop w:val="0"/>
                                                                                              <w:marBottom w:val="0"/>
                                                                                              <w:divBdr>
                                                                                                <w:top w:val="none" w:sz="0" w:space="0" w:color="auto"/>
                                                                                                <w:left w:val="none" w:sz="0" w:space="0" w:color="auto"/>
                                                                                                <w:bottom w:val="none" w:sz="0" w:space="0" w:color="auto"/>
                                                                                                <w:right w:val="none" w:sz="0" w:space="0" w:color="auto"/>
                                                                                              </w:divBdr>
                                                                                              <w:divsChild>
                                                                                                <w:div w:id="192958536">
                                                                                                  <w:marLeft w:val="0"/>
                                                                                                  <w:marRight w:val="0"/>
                                                                                                  <w:marTop w:val="0"/>
                                                                                                  <w:marBottom w:val="0"/>
                                                                                                  <w:divBdr>
                                                                                                    <w:top w:val="none" w:sz="0" w:space="0" w:color="auto"/>
                                                                                                    <w:left w:val="none" w:sz="0" w:space="0" w:color="auto"/>
                                                                                                    <w:bottom w:val="none" w:sz="0" w:space="0" w:color="auto"/>
                                                                                                    <w:right w:val="none" w:sz="0" w:space="0" w:color="auto"/>
                                                                                                  </w:divBdr>
                                                                                                  <w:divsChild>
                                                                                                    <w:div w:id="728113525">
                                                                                                      <w:marLeft w:val="0"/>
                                                                                                      <w:marRight w:val="0"/>
                                                                                                      <w:marTop w:val="0"/>
                                                                                                      <w:marBottom w:val="0"/>
                                                                                                      <w:divBdr>
                                                                                                        <w:top w:val="none" w:sz="0" w:space="0" w:color="auto"/>
                                                                                                        <w:left w:val="none" w:sz="0" w:space="0" w:color="auto"/>
                                                                                                        <w:bottom w:val="none" w:sz="0" w:space="0" w:color="auto"/>
                                                                                                        <w:right w:val="none" w:sz="0" w:space="0" w:color="auto"/>
                                                                                                      </w:divBdr>
                                                                                                      <w:divsChild>
                                                                                                        <w:div w:id="1370566664">
                                                                                                          <w:marLeft w:val="0"/>
                                                                                                          <w:marRight w:val="0"/>
                                                                                                          <w:marTop w:val="0"/>
                                                                                                          <w:marBottom w:val="0"/>
                                                                                                          <w:divBdr>
                                                                                                            <w:top w:val="none" w:sz="0" w:space="0" w:color="auto"/>
                                                                                                            <w:left w:val="none" w:sz="0" w:space="0" w:color="auto"/>
                                                                                                            <w:bottom w:val="none" w:sz="0" w:space="0" w:color="auto"/>
                                                                                                            <w:right w:val="none" w:sz="0" w:space="0" w:color="auto"/>
                                                                                                          </w:divBdr>
                                                                                                          <w:divsChild>
                                                                                                            <w:div w:id="1917787831">
                                                                                                              <w:marLeft w:val="0"/>
                                                                                                              <w:marRight w:val="0"/>
                                                                                                              <w:marTop w:val="0"/>
                                                                                                              <w:marBottom w:val="0"/>
                                                                                                              <w:divBdr>
                                                                                                                <w:top w:val="single" w:sz="2" w:space="4" w:color="D8D8D8"/>
                                                                                                                <w:left w:val="single" w:sz="2" w:space="0" w:color="D8D8D8"/>
                                                                                                                <w:bottom w:val="single" w:sz="2" w:space="4" w:color="D8D8D8"/>
                                                                                                                <w:right w:val="single" w:sz="2" w:space="0" w:color="D8D8D8"/>
                                                                                                              </w:divBdr>
                                                                                                              <w:divsChild>
                                                                                                                <w:div w:id="762528198">
                                                                                                                  <w:marLeft w:val="225"/>
                                                                                                                  <w:marRight w:val="225"/>
                                                                                                                  <w:marTop w:val="75"/>
                                                                                                                  <w:marBottom w:val="75"/>
                                                                                                                  <w:divBdr>
                                                                                                                    <w:top w:val="none" w:sz="0" w:space="0" w:color="auto"/>
                                                                                                                    <w:left w:val="none" w:sz="0" w:space="0" w:color="auto"/>
                                                                                                                    <w:bottom w:val="none" w:sz="0" w:space="0" w:color="auto"/>
                                                                                                                    <w:right w:val="none" w:sz="0" w:space="0" w:color="auto"/>
                                                                                                                  </w:divBdr>
                                                                                                                  <w:divsChild>
                                                                                                                    <w:div w:id="1548645155">
                                                                                                                      <w:marLeft w:val="0"/>
                                                                                                                      <w:marRight w:val="0"/>
                                                                                                                      <w:marTop w:val="0"/>
                                                                                                                      <w:marBottom w:val="0"/>
                                                                                                                      <w:divBdr>
                                                                                                                        <w:top w:val="single" w:sz="6" w:space="0" w:color="auto"/>
                                                                                                                        <w:left w:val="single" w:sz="6" w:space="0" w:color="auto"/>
                                                                                                                        <w:bottom w:val="single" w:sz="6" w:space="0" w:color="auto"/>
                                                                                                                        <w:right w:val="single" w:sz="6" w:space="0" w:color="auto"/>
                                                                                                                      </w:divBdr>
                                                                                                                      <w:divsChild>
                                                                                                                        <w:div w:id="192689622">
                                                                                                                          <w:marLeft w:val="0"/>
                                                                                                                          <w:marRight w:val="0"/>
                                                                                                                          <w:marTop w:val="0"/>
                                                                                                                          <w:marBottom w:val="0"/>
                                                                                                                          <w:divBdr>
                                                                                                                            <w:top w:val="none" w:sz="0" w:space="0" w:color="auto"/>
                                                                                                                            <w:left w:val="none" w:sz="0" w:space="0" w:color="auto"/>
                                                                                                                            <w:bottom w:val="none" w:sz="0" w:space="0" w:color="auto"/>
                                                                                                                            <w:right w:val="none" w:sz="0" w:space="0" w:color="auto"/>
                                                                                                                          </w:divBdr>
                                                                                                                          <w:divsChild>
                                                                                                                            <w:div w:id="164033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601063">
      <w:bodyDiv w:val="1"/>
      <w:marLeft w:val="0"/>
      <w:marRight w:val="0"/>
      <w:marTop w:val="0"/>
      <w:marBottom w:val="0"/>
      <w:divBdr>
        <w:top w:val="none" w:sz="0" w:space="0" w:color="auto"/>
        <w:left w:val="none" w:sz="0" w:space="0" w:color="auto"/>
        <w:bottom w:val="none" w:sz="0" w:space="0" w:color="auto"/>
        <w:right w:val="none" w:sz="0" w:space="0" w:color="auto"/>
      </w:divBdr>
      <w:divsChild>
        <w:div w:id="859782565">
          <w:marLeft w:val="0"/>
          <w:marRight w:val="0"/>
          <w:marTop w:val="0"/>
          <w:marBottom w:val="0"/>
          <w:divBdr>
            <w:top w:val="none" w:sz="0" w:space="0" w:color="auto"/>
            <w:left w:val="none" w:sz="0" w:space="0" w:color="auto"/>
            <w:bottom w:val="none" w:sz="0" w:space="0" w:color="auto"/>
            <w:right w:val="none" w:sz="0" w:space="0" w:color="auto"/>
          </w:divBdr>
          <w:divsChild>
            <w:div w:id="1052382654">
              <w:marLeft w:val="0"/>
              <w:marRight w:val="0"/>
              <w:marTop w:val="0"/>
              <w:marBottom w:val="0"/>
              <w:divBdr>
                <w:top w:val="none" w:sz="0" w:space="0" w:color="auto"/>
                <w:left w:val="none" w:sz="0" w:space="0" w:color="auto"/>
                <w:bottom w:val="none" w:sz="0" w:space="0" w:color="auto"/>
                <w:right w:val="none" w:sz="0" w:space="0" w:color="auto"/>
              </w:divBdr>
              <w:divsChild>
                <w:div w:id="1512530816">
                  <w:marLeft w:val="0"/>
                  <w:marRight w:val="0"/>
                  <w:marTop w:val="0"/>
                  <w:marBottom w:val="0"/>
                  <w:divBdr>
                    <w:top w:val="none" w:sz="0" w:space="0" w:color="auto"/>
                    <w:left w:val="none" w:sz="0" w:space="0" w:color="auto"/>
                    <w:bottom w:val="none" w:sz="0" w:space="0" w:color="auto"/>
                    <w:right w:val="none" w:sz="0" w:space="0" w:color="auto"/>
                  </w:divBdr>
                  <w:divsChild>
                    <w:div w:id="1863012653">
                      <w:marLeft w:val="0"/>
                      <w:marRight w:val="0"/>
                      <w:marTop w:val="0"/>
                      <w:marBottom w:val="0"/>
                      <w:divBdr>
                        <w:top w:val="none" w:sz="0" w:space="0" w:color="auto"/>
                        <w:left w:val="none" w:sz="0" w:space="0" w:color="auto"/>
                        <w:bottom w:val="none" w:sz="0" w:space="0" w:color="auto"/>
                        <w:right w:val="none" w:sz="0" w:space="0" w:color="auto"/>
                      </w:divBdr>
                      <w:divsChild>
                        <w:div w:id="1495610081">
                          <w:marLeft w:val="0"/>
                          <w:marRight w:val="0"/>
                          <w:marTop w:val="0"/>
                          <w:marBottom w:val="0"/>
                          <w:divBdr>
                            <w:top w:val="none" w:sz="0" w:space="0" w:color="auto"/>
                            <w:left w:val="none" w:sz="0" w:space="0" w:color="auto"/>
                            <w:bottom w:val="none" w:sz="0" w:space="0" w:color="auto"/>
                            <w:right w:val="none" w:sz="0" w:space="0" w:color="auto"/>
                          </w:divBdr>
                          <w:divsChild>
                            <w:div w:id="479425670">
                              <w:marLeft w:val="0"/>
                              <w:marRight w:val="0"/>
                              <w:marTop w:val="0"/>
                              <w:marBottom w:val="0"/>
                              <w:divBdr>
                                <w:top w:val="none" w:sz="0" w:space="0" w:color="auto"/>
                                <w:left w:val="none" w:sz="0" w:space="0" w:color="auto"/>
                                <w:bottom w:val="none" w:sz="0" w:space="0" w:color="auto"/>
                                <w:right w:val="none" w:sz="0" w:space="0" w:color="auto"/>
                              </w:divBdr>
                              <w:divsChild>
                                <w:div w:id="1793209962">
                                  <w:marLeft w:val="0"/>
                                  <w:marRight w:val="0"/>
                                  <w:marTop w:val="0"/>
                                  <w:marBottom w:val="0"/>
                                  <w:divBdr>
                                    <w:top w:val="none" w:sz="0" w:space="0" w:color="auto"/>
                                    <w:left w:val="none" w:sz="0" w:space="0" w:color="auto"/>
                                    <w:bottom w:val="none" w:sz="0" w:space="0" w:color="auto"/>
                                    <w:right w:val="none" w:sz="0" w:space="0" w:color="auto"/>
                                  </w:divBdr>
                                  <w:divsChild>
                                    <w:div w:id="718894621">
                                      <w:marLeft w:val="0"/>
                                      <w:marRight w:val="0"/>
                                      <w:marTop w:val="0"/>
                                      <w:marBottom w:val="0"/>
                                      <w:divBdr>
                                        <w:top w:val="none" w:sz="0" w:space="0" w:color="auto"/>
                                        <w:left w:val="none" w:sz="0" w:space="0" w:color="auto"/>
                                        <w:bottom w:val="none" w:sz="0" w:space="0" w:color="auto"/>
                                        <w:right w:val="none" w:sz="0" w:space="0" w:color="auto"/>
                                      </w:divBdr>
                                      <w:divsChild>
                                        <w:div w:id="180558297">
                                          <w:marLeft w:val="0"/>
                                          <w:marRight w:val="0"/>
                                          <w:marTop w:val="0"/>
                                          <w:marBottom w:val="0"/>
                                          <w:divBdr>
                                            <w:top w:val="none" w:sz="0" w:space="0" w:color="auto"/>
                                            <w:left w:val="none" w:sz="0" w:space="0" w:color="auto"/>
                                            <w:bottom w:val="none" w:sz="0" w:space="0" w:color="auto"/>
                                            <w:right w:val="none" w:sz="0" w:space="0" w:color="auto"/>
                                          </w:divBdr>
                                          <w:divsChild>
                                            <w:div w:id="1245796568">
                                              <w:marLeft w:val="0"/>
                                              <w:marRight w:val="0"/>
                                              <w:marTop w:val="0"/>
                                              <w:marBottom w:val="0"/>
                                              <w:divBdr>
                                                <w:top w:val="none" w:sz="0" w:space="0" w:color="auto"/>
                                                <w:left w:val="none" w:sz="0" w:space="0" w:color="auto"/>
                                                <w:bottom w:val="none" w:sz="0" w:space="0" w:color="auto"/>
                                                <w:right w:val="none" w:sz="0" w:space="0" w:color="auto"/>
                                              </w:divBdr>
                                              <w:divsChild>
                                                <w:div w:id="1251964965">
                                                  <w:marLeft w:val="0"/>
                                                  <w:marRight w:val="0"/>
                                                  <w:marTop w:val="0"/>
                                                  <w:marBottom w:val="0"/>
                                                  <w:divBdr>
                                                    <w:top w:val="none" w:sz="0" w:space="0" w:color="auto"/>
                                                    <w:left w:val="none" w:sz="0" w:space="0" w:color="auto"/>
                                                    <w:bottom w:val="none" w:sz="0" w:space="0" w:color="auto"/>
                                                    <w:right w:val="none" w:sz="0" w:space="0" w:color="auto"/>
                                                  </w:divBdr>
                                                  <w:divsChild>
                                                    <w:div w:id="60955879">
                                                      <w:marLeft w:val="0"/>
                                                      <w:marRight w:val="0"/>
                                                      <w:marTop w:val="0"/>
                                                      <w:marBottom w:val="0"/>
                                                      <w:divBdr>
                                                        <w:top w:val="none" w:sz="0" w:space="0" w:color="auto"/>
                                                        <w:left w:val="none" w:sz="0" w:space="0" w:color="auto"/>
                                                        <w:bottom w:val="none" w:sz="0" w:space="0" w:color="auto"/>
                                                        <w:right w:val="none" w:sz="0" w:space="0" w:color="auto"/>
                                                      </w:divBdr>
                                                      <w:divsChild>
                                                        <w:div w:id="298536585">
                                                          <w:marLeft w:val="0"/>
                                                          <w:marRight w:val="0"/>
                                                          <w:marTop w:val="0"/>
                                                          <w:marBottom w:val="0"/>
                                                          <w:divBdr>
                                                            <w:top w:val="single" w:sz="6" w:space="0" w:color="CCCCCC"/>
                                                            <w:left w:val="single" w:sz="6" w:space="0" w:color="CCCCCC"/>
                                                            <w:bottom w:val="single" w:sz="6" w:space="0" w:color="CCCCCC"/>
                                                            <w:right w:val="single" w:sz="6" w:space="0" w:color="CCCCCC"/>
                                                          </w:divBdr>
                                                          <w:divsChild>
                                                            <w:div w:id="751394933">
                                                              <w:marLeft w:val="0"/>
                                                              <w:marRight w:val="0"/>
                                                              <w:marTop w:val="0"/>
                                                              <w:marBottom w:val="0"/>
                                                              <w:divBdr>
                                                                <w:top w:val="none" w:sz="0" w:space="0" w:color="auto"/>
                                                                <w:left w:val="none" w:sz="0" w:space="0" w:color="auto"/>
                                                                <w:bottom w:val="none" w:sz="0" w:space="0" w:color="auto"/>
                                                                <w:right w:val="none" w:sz="0" w:space="0" w:color="auto"/>
                                                              </w:divBdr>
                                                              <w:divsChild>
                                                                <w:div w:id="979310628">
                                                                  <w:marLeft w:val="0"/>
                                                                  <w:marRight w:val="0"/>
                                                                  <w:marTop w:val="0"/>
                                                                  <w:marBottom w:val="0"/>
                                                                  <w:divBdr>
                                                                    <w:top w:val="none" w:sz="0" w:space="0" w:color="auto"/>
                                                                    <w:left w:val="none" w:sz="0" w:space="0" w:color="auto"/>
                                                                    <w:bottom w:val="none" w:sz="0" w:space="0" w:color="auto"/>
                                                                    <w:right w:val="none" w:sz="0" w:space="0" w:color="auto"/>
                                                                  </w:divBdr>
                                                                  <w:divsChild>
                                                                    <w:div w:id="1214192888">
                                                                      <w:marLeft w:val="-15"/>
                                                                      <w:marRight w:val="-15"/>
                                                                      <w:marTop w:val="0"/>
                                                                      <w:marBottom w:val="0"/>
                                                                      <w:divBdr>
                                                                        <w:top w:val="none" w:sz="0" w:space="0" w:color="auto"/>
                                                                        <w:left w:val="none" w:sz="0" w:space="0" w:color="auto"/>
                                                                        <w:bottom w:val="none" w:sz="0" w:space="0" w:color="auto"/>
                                                                        <w:right w:val="none" w:sz="0" w:space="0" w:color="auto"/>
                                                                      </w:divBdr>
                                                                      <w:divsChild>
                                                                        <w:div w:id="1489789384">
                                                                          <w:marLeft w:val="-6000"/>
                                                                          <w:marRight w:val="0"/>
                                                                          <w:marTop w:val="0"/>
                                                                          <w:marBottom w:val="135"/>
                                                                          <w:divBdr>
                                                                            <w:top w:val="none" w:sz="0" w:space="0" w:color="auto"/>
                                                                            <w:left w:val="none" w:sz="0" w:space="0" w:color="auto"/>
                                                                            <w:bottom w:val="single" w:sz="6" w:space="0" w:color="E5E5E5"/>
                                                                            <w:right w:val="none" w:sz="0" w:space="0" w:color="auto"/>
                                                                          </w:divBdr>
                                                                          <w:divsChild>
                                                                            <w:div w:id="1634754589">
                                                                              <w:marLeft w:val="0"/>
                                                                              <w:marRight w:val="0"/>
                                                                              <w:marTop w:val="0"/>
                                                                              <w:marBottom w:val="0"/>
                                                                              <w:divBdr>
                                                                                <w:top w:val="none" w:sz="0" w:space="0" w:color="auto"/>
                                                                                <w:left w:val="none" w:sz="0" w:space="0" w:color="auto"/>
                                                                                <w:bottom w:val="none" w:sz="0" w:space="0" w:color="auto"/>
                                                                                <w:right w:val="none" w:sz="0" w:space="0" w:color="auto"/>
                                                                              </w:divBdr>
                                                                              <w:divsChild>
                                                                                <w:div w:id="1391223013">
                                                                                  <w:marLeft w:val="0"/>
                                                                                  <w:marRight w:val="0"/>
                                                                                  <w:marTop w:val="0"/>
                                                                                  <w:marBottom w:val="0"/>
                                                                                  <w:divBdr>
                                                                                    <w:top w:val="none" w:sz="0" w:space="0" w:color="auto"/>
                                                                                    <w:left w:val="none" w:sz="0" w:space="0" w:color="auto"/>
                                                                                    <w:bottom w:val="none" w:sz="0" w:space="0" w:color="auto"/>
                                                                                    <w:right w:val="none" w:sz="0" w:space="0" w:color="auto"/>
                                                                                  </w:divBdr>
                                                                                  <w:divsChild>
                                                                                    <w:div w:id="1206059847">
                                                                                      <w:marLeft w:val="0"/>
                                                                                      <w:marRight w:val="0"/>
                                                                                      <w:marTop w:val="0"/>
                                                                                      <w:marBottom w:val="0"/>
                                                                                      <w:divBdr>
                                                                                        <w:top w:val="none" w:sz="0" w:space="0" w:color="auto"/>
                                                                                        <w:left w:val="none" w:sz="0" w:space="0" w:color="auto"/>
                                                                                        <w:bottom w:val="none" w:sz="0" w:space="0" w:color="auto"/>
                                                                                        <w:right w:val="none" w:sz="0" w:space="0" w:color="auto"/>
                                                                                      </w:divBdr>
                                                                                      <w:divsChild>
                                                                                        <w:div w:id="1568880508">
                                                                                          <w:marLeft w:val="0"/>
                                                                                          <w:marRight w:val="0"/>
                                                                                          <w:marTop w:val="0"/>
                                                                                          <w:marBottom w:val="0"/>
                                                                                          <w:divBdr>
                                                                                            <w:top w:val="single" w:sz="6" w:space="0" w:color="666666"/>
                                                                                            <w:left w:val="single" w:sz="6" w:space="0" w:color="CCCCCC"/>
                                                                                            <w:bottom w:val="single" w:sz="6" w:space="0" w:color="CCCCCC"/>
                                                                                            <w:right w:val="single" w:sz="6" w:space="0" w:color="CCCCCC"/>
                                                                                          </w:divBdr>
                                                                                          <w:divsChild>
                                                                                            <w:div w:id="1388340924">
                                                                                              <w:marLeft w:val="30"/>
                                                                                              <w:marRight w:val="0"/>
                                                                                              <w:marTop w:val="0"/>
                                                                                              <w:marBottom w:val="0"/>
                                                                                              <w:divBdr>
                                                                                                <w:top w:val="none" w:sz="0" w:space="0" w:color="auto"/>
                                                                                                <w:left w:val="none" w:sz="0" w:space="0" w:color="auto"/>
                                                                                                <w:bottom w:val="none" w:sz="0" w:space="0" w:color="auto"/>
                                                                                                <w:right w:val="none" w:sz="0" w:space="0" w:color="auto"/>
                                                                                              </w:divBdr>
                                                                                              <w:divsChild>
                                                                                                <w:div w:id="32468098">
                                                                                                  <w:marLeft w:val="0"/>
                                                                                                  <w:marRight w:val="0"/>
                                                                                                  <w:marTop w:val="0"/>
                                                                                                  <w:marBottom w:val="0"/>
                                                                                                  <w:divBdr>
                                                                                                    <w:top w:val="none" w:sz="0" w:space="0" w:color="auto"/>
                                                                                                    <w:left w:val="none" w:sz="0" w:space="0" w:color="auto"/>
                                                                                                    <w:bottom w:val="none" w:sz="0" w:space="0" w:color="auto"/>
                                                                                                    <w:right w:val="none" w:sz="0" w:space="0" w:color="auto"/>
                                                                                                  </w:divBdr>
                                                                                                </w:div>
                                                                                                <w:div w:id="552817488">
                                                                                                  <w:marLeft w:val="0"/>
                                                                                                  <w:marRight w:val="0"/>
                                                                                                  <w:marTop w:val="0"/>
                                                                                                  <w:marBottom w:val="0"/>
                                                                                                  <w:divBdr>
                                                                                                    <w:top w:val="none" w:sz="0" w:space="0" w:color="auto"/>
                                                                                                    <w:left w:val="none" w:sz="0" w:space="0" w:color="auto"/>
                                                                                                    <w:bottom w:val="none" w:sz="0" w:space="0" w:color="auto"/>
                                                                                                    <w:right w:val="none" w:sz="0" w:space="0" w:color="auto"/>
                                                                                                  </w:divBdr>
                                                                                                </w:div>
                                                                                                <w:div w:id="1093092708">
                                                                                                  <w:marLeft w:val="0"/>
                                                                                                  <w:marRight w:val="0"/>
                                                                                                  <w:marTop w:val="0"/>
                                                                                                  <w:marBottom w:val="0"/>
                                                                                                  <w:divBdr>
                                                                                                    <w:top w:val="none" w:sz="0" w:space="0" w:color="auto"/>
                                                                                                    <w:left w:val="none" w:sz="0" w:space="0" w:color="auto"/>
                                                                                                    <w:bottom w:val="none" w:sz="0" w:space="0" w:color="auto"/>
                                                                                                    <w:right w:val="none" w:sz="0" w:space="0" w:color="auto"/>
                                                                                                  </w:divBdr>
                                                                                                </w:div>
                                                                                                <w:div w:id="1348942051">
                                                                                                  <w:marLeft w:val="0"/>
                                                                                                  <w:marRight w:val="0"/>
                                                                                                  <w:marTop w:val="0"/>
                                                                                                  <w:marBottom w:val="0"/>
                                                                                                  <w:divBdr>
                                                                                                    <w:top w:val="none" w:sz="0" w:space="0" w:color="auto"/>
                                                                                                    <w:left w:val="none" w:sz="0" w:space="0" w:color="auto"/>
                                                                                                    <w:bottom w:val="none" w:sz="0" w:space="0" w:color="auto"/>
                                                                                                    <w:right w:val="none" w:sz="0" w:space="0" w:color="auto"/>
                                                                                                  </w:divBdr>
                                                                                                </w:div>
                                                                                                <w:div w:id="17232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4259596">
      <w:marLeft w:val="0"/>
      <w:marRight w:val="0"/>
      <w:marTop w:val="0"/>
      <w:marBottom w:val="0"/>
      <w:divBdr>
        <w:top w:val="none" w:sz="0" w:space="0" w:color="auto"/>
        <w:left w:val="none" w:sz="0" w:space="0" w:color="auto"/>
        <w:bottom w:val="none" w:sz="0" w:space="0" w:color="auto"/>
        <w:right w:val="none" w:sz="0" w:space="0" w:color="auto"/>
      </w:divBdr>
    </w:div>
    <w:div w:id="490756171">
      <w:bodyDiv w:val="1"/>
      <w:marLeft w:val="0"/>
      <w:marRight w:val="0"/>
      <w:marTop w:val="0"/>
      <w:marBottom w:val="0"/>
      <w:divBdr>
        <w:top w:val="none" w:sz="0" w:space="0" w:color="auto"/>
        <w:left w:val="none" w:sz="0" w:space="0" w:color="auto"/>
        <w:bottom w:val="none" w:sz="0" w:space="0" w:color="auto"/>
        <w:right w:val="none" w:sz="0" w:space="0" w:color="auto"/>
      </w:divBdr>
    </w:div>
    <w:div w:id="550577460">
      <w:bodyDiv w:val="1"/>
      <w:marLeft w:val="0"/>
      <w:marRight w:val="0"/>
      <w:marTop w:val="0"/>
      <w:marBottom w:val="0"/>
      <w:divBdr>
        <w:top w:val="none" w:sz="0" w:space="0" w:color="auto"/>
        <w:left w:val="none" w:sz="0" w:space="0" w:color="auto"/>
        <w:bottom w:val="none" w:sz="0" w:space="0" w:color="auto"/>
        <w:right w:val="none" w:sz="0" w:space="0" w:color="auto"/>
      </w:divBdr>
      <w:divsChild>
        <w:div w:id="23333972">
          <w:marLeft w:val="547"/>
          <w:marRight w:val="0"/>
          <w:marTop w:val="96"/>
          <w:marBottom w:val="0"/>
          <w:divBdr>
            <w:top w:val="none" w:sz="0" w:space="0" w:color="auto"/>
            <w:left w:val="none" w:sz="0" w:space="0" w:color="auto"/>
            <w:bottom w:val="none" w:sz="0" w:space="0" w:color="auto"/>
            <w:right w:val="none" w:sz="0" w:space="0" w:color="auto"/>
          </w:divBdr>
        </w:div>
        <w:div w:id="246963296">
          <w:marLeft w:val="547"/>
          <w:marRight w:val="0"/>
          <w:marTop w:val="96"/>
          <w:marBottom w:val="0"/>
          <w:divBdr>
            <w:top w:val="none" w:sz="0" w:space="0" w:color="auto"/>
            <w:left w:val="none" w:sz="0" w:space="0" w:color="auto"/>
            <w:bottom w:val="none" w:sz="0" w:space="0" w:color="auto"/>
            <w:right w:val="none" w:sz="0" w:space="0" w:color="auto"/>
          </w:divBdr>
        </w:div>
        <w:div w:id="436098253">
          <w:marLeft w:val="547"/>
          <w:marRight w:val="0"/>
          <w:marTop w:val="96"/>
          <w:marBottom w:val="0"/>
          <w:divBdr>
            <w:top w:val="none" w:sz="0" w:space="0" w:color="auto"/>
            <w:left w:val="none" w:sz="0" w:space="0" w:color="auto"/>
            <w:bottom w:val="none" w:sz="0" w:space="0" w:color="auto"/>
            <w:right w:val="none" w:sz="0" w:space="0" w:color="auto"/>
          </w:divBdr>
        </w:div>
        <w:div w:id="719788275">
          <w:marLeft w:val="547"/>
          <w:marRight w:val="0"/>
          <w:marTop w:val="96"/>
          <w:marBottom w:val="0"/>
          <w:divBdr>
            <w:top w:val="none" w:sz="0" w:space="0" w:color="auto"/>
            <w:left w:val="none" w:sz="0" w:space="0" w:color="auto"/>
            <w:bottom w:val="none" w:sz="0" w:space="0" w:color="auto"/>
            <w:right w:val="none" w:sz="0" w:space="0" w:color="auto"/>
          </w:divBdr>
        </w:div>
        <w:div w:id="1262951627">
          <w:marLeft w:val="547"/>
          <w:marRight w:val="0"/>
          <w:marTop w:val="96"/>
          <w:marBottom w:val="0"/>
          <w:divBdr>
            <w:top w:val="none" w:sz="0" w:space="0" w:color="auto"/>
            <w:left w:val="none" w:sz="0" w:space="0" w:color="auto"/>
            <w:bottom w:val="none" w:sz="0" w:space="0" w:color="auto"/>
            <w:right w:val="none" w:sz="0" w:space="0" w:color="auto"/>
          </w:divBdr>
        </w:div>
        <w:div w:id="1284726159">
          <w:marLeft w:val="547"/>
          <w:marRight w:val="0"/>
          <w:marTop w:val="96"/>
          <w:marBottom w:val="0"/>
          <w:divBdr>
            <w:top w:val="none" w:sz="0" w:space="0" w:color="auto"/>
            <w:left w:val="none" w:sz="0" w:space="0" w:color="auto"/>
            <w:bottom w:val="none" w:sz="0" w:space="0" w:color="auto"/>
            <w:right w:val="none" w:sz="0" w:space="0" w:color="auto"/>
          </w:divBdr>
        </w:div>
        <w:div w:id="1652058576">
          <w:marLeft w:val="547"/>
          <w:marRight w:val="0"/>
          <w:marTop w:val="96"/>
          <w:marBottom w:val="0"/>
          <w:divBdr>
            <w:top w:val="none" w:sz="0" w:space="0" w:color="auto"/>
            <w:left w:val="none" w:sz="0" w:space="0" w:color="auto"/>
            <w:bottom w:val="none" w:sz="0" w:space="0" w:color="auto"/>
            <w:right w:val="none" w:sz="0" w:space="0" w:color="auto"/>
          </w:divBdr>
        </w:div>
        <w:div w:id="1691879780">
          <w:marLeft w:val="547"/>
          <w:marRight w:val="0"/>
          <w:marTop w:val="96"/>
          <w:marBottom w:val="0"/>
          <w:divBdr>
            <w:top w:val="none" w:sz="0" w:space="0" w:color="auto"/>
            <w:left w:val="none" w:sz="0" w:space="0" w:color="auto"/>
            <w:bottom w:val="none" w:sz="0" w:space="0" w:color="auto"/>
            <w:right w:val="none" w:sz="0" w:space="0" w:color="auto"/>
          </w:divBdr>
        </w:div>
        <w:div w:id="1741248122">
          <w:marLeft w:val="547"/>
          <w:marRight w:val="0"/>
          <w:marTop w:val="96"/>
          <w:marBottom w:val="0"/>
          <w:divBdr>
            <w:top w:val="none" w:sz="0" w:space="0" w:color="auto"/>
            <w:left w:val="none" w:sz="0" w:space="0" w:color="auto"/>
            <w:bottom w:val="none" w:sz="0" w:space="0" w:color="auto"/>
            <w:right w:val="none" w:sz="0" w:space="0" w:color="auto"/>
          </w:divBdr>
        </w:div>
        <w:div w:id="1990942795">
          <w:marLeft w:val="547"/>
          <w:marRight w:val="0"/>
          <w:marTop w:val="96"/>
          <w:marBottom w:val="0"/>
          <w:divBdr>
            <w:top w:val="none" w:sz="0" w:space="0" w:color="auto"/>
            <w:left w:val="none" w:sz="0" w:space="0" w:color="auto"/>
            <w:bottom w:val="none" w:sz="0" w:space="0" w:color="auto"/>
            <w:right w:val="none" w:sz="0" w:space="0" w:color="auto"/>
          </w:divBdr>
        </w:div>
      </w:divsChild>
    </w:div>
    <w:div w:id="693307159">
      <w:bodyDiv w:val="1"/>
      <w:marLeft w:val="0"/>
      <w:marRight w:val="0"/>
      <w:marTop w:val="0"/>
      <w:marBottom w:val="0"/>
      <w:divBdr>
        <w:top w:val="none" w:sz="0" w:space="0" w:color="auto"/>
        <w:left w:val="none" w:sz="0" w:space="0" w:color="auto"/>
        <w:bottom w:val="none" w:sz="0" w:space="0" w:color="auto"/>
        <w:right w:val="none" w:sz="0" w:space="0" w:color="auto"/>
      </w:divBdr>
    </w:div>
    <w:div w:id="708847102">
      <w:marLeft w:val="0"/>
      <w:marRight w:val="0"/>
      <w:marTop w:val="0"/>
      <w:marBottom w:val="0"/>
      <w:divBdr>
        <w:top w:val="none" w:sz="0" w:space="0" w:color="auto"/>
        <w:left w:val="none" w:sz="0" w:space="0" w:color="auto"/>
        <w:bottom w:val="none" w:sz="0" w:space="0" w:color="auto"/>
        <w:right w:val="none" w:sz="0" w:space="0" w:color="auto"/>
      </w:divBdr>
      <w:divsChild>
        <w:div w:id="452678324">
          <w:marLeft w:val="0"/>
          <w:marRight w:val="0"/>
          <w:marTop w:val="0"/>
          <w:marBottom w:val="0"/>
          <w:divBdr>
            <w:top w:val="none" w:sz="0" w:space="0" w:color="auto"/>
            <w:left w:val="none" w:sz="0" w:space="0" w:color="auto"/>
            <w:bottom w:val="none" w:sz="0" w:space="0" w:color="auto"/>
            <w:right w:val="none" w:sz="0" w:space="0" w:color="auto"/>
          </w:divBdr>
          <w:divsChild>
            <w:div w:id="478769714">
              <w:marLeft w:val="0"/>
              <w:marRight w:val="0"/>
              <w:marTop w:val="0"/>
              <w:marBottom w:val="0"/>
              <w:divBdr>
                <w:top w:val="none" w:sz="0" w:space="0" w:color="auto"/>
                <w:left w:val="none" w:sz="0" w:space="0" w:color="auto"/>
                <w:bottom w:val="none" w:sz="0" w:space="0" w:color="auto"/>
                <w:right w:val="none" w:sz="0" w:space="0" w:color="auto"/>
              </w:divBdr>
              <w:divsChild>
                <w:div w:id="1900289720">
                  <w:marLeft w:val="0"/>
                  <w:marRight w:val="0"/>
                  <w:marTop w:val="0"/>
                  <w:marBottom w:val="0"/>
                  <w:divBdr>
                    <w:top w:val="none" w:sz="0" w:space="0" w:color="auto"/>
                    <w:left w:val="none" w:sz="0" w:space="0" w:color="auto"/>
                    <w:bottom w:val="none" w:sz="0" w:space="0" w:color="auto"/>
                    <w:right w:val="none" w:sz="0" w:space="0" w:color="auto"/>
                  </w:divBdr>
                  <w:divsChild>
                    <w:div w:id="887181807">
                      <w:marLeft w:val="0"/>
                      <w:marRight w:val="0"/>
                      <w:marTop w:val="0"/>
                      <w:marBottom w:val="0"/>
                      <w:divBdr>
                        <w:top w:val="none" w:sz="0" w:space="0" w:color="auto"/>
                        <w:left w:val="none" w:sz="0" w:space="0" w:color="auto"/>
                        <w:bottom w:val="none" w:sz="0" w:space="0" w:color="auto"/>
                        <w:right w:val="none" w:sz="0" w:space="0" w:color="auto"/>
                      </w:divBdr>
                    </w:div>
                    <w:div w:id="1231041757">
                      <w:marLeft w:val="0"/>
                      <w:marRight w:val="0"/>
                      <w:marTop w:val="0"/>
                      <w:marBottom w:val="0"/>
                      <w:divBdr>
                        <w:top w:val="none" w:sz="0" w:space="0" w:color="auto"/>
                        <w:left w:val="none" w:sz="0" w:space="0" w:color="auto"/>
                        <w:bottom w:val="none" w:sz="0" w:space="0" w:color="auto"/>
                        <w:right w:val="none" w:sz="0" w:space="0" w:color="auto"/>
                      </w:divBdr>
                      <w:divsChild>
                        <w:div w:id="203949480">
                          <w:marLeft w:val="0"/>
                          <w:marRight w:val="0"/>
                          <w:marTop w:val="0"/>
                          <w:marBottom w:val="0"/>
                          <w:divBdr>
                            <w:top w:val="none" w:sz="0" w:space="0" w:color="auto"/>
                            <w:left w:val="none" w:sz="0" w:space="0" w:color="auto"/>
                            <w:bottom w:val="none" w:sz="0" w:space="0" w:color="auto"/>
                            <w:right w:val="none" w:sz="0" w:space="0" w:color="auto"/>
                          </w:divBdr>
                        </w:div>
                        <w:div w:id="374044122">
                          <w:marLeft w:val="0"/>
                          <w:marRight w:val="0"/>
                          <w:marTop w:val="0"/>
                          <w:marBottom w:val="0"/>
                          <w:divBdr>
                            <w:top w:val="none" w:sz="0" w:space="0" w:color="auto"/>
                            <w:left w:val="none" w:sz="0" w:space="0" w:color="auto"/>
                            <w:bottom w:val="none" w:sz="0" w:space="0" w:color="auto"/>
                            <w:right w:val="none" w:sz="0" w:space="0" w:color="auto"/>
                          </w:divBdr>
                          <w:divsChild>
                            <w:div w:id="194392495">
                              <w:marLeft w:val="0"/>
                              <w:marRight w:val="0"/>
                              <w:marTop w:val="90"/>
                              <w:marBottom w:val="0"/>
                              <w:divBdr>
                                <w:top w:val="none" w:sz="0" w:space="0" w:color="auto"/>
                                <w:left w:val="none" w:sz="0" w:space="0" w:color="auto"/>
                                <w:bottom w:val="none" w:sz="0" w:space="0" w:color="auto"/>
                                <w:right w:val="none" w:sz="0" w:space="0" w:color="auto"/>
                              </w:divBdr>
                              <w:divsChild>
                                <w:div w:id="753749105">
                                  <w:marLeft w:val="0"/>
                                  <w:marRight w:val="60"/>
                                  <w:marTop w:val="0"/>
                                  <w:marBottom w:val="0"/>
                                  <w:divBdr>
                                    <w:top w:val="none" w:sz="0" w:space="0" w:color="auto"/>
                                    <w:left w:val="none" w:sz="0" w:space="0" w:color="auto"/>
                                    <w:bottom w:val="none" w:sz="0" w:space="0" w:color="auto"/>
                                    <w:right w:val="none" w:sz="0" w:space="0" w:color="auto"/>
                                  </w:divBdr>
                                  <w:divsChild>
                                    <w:div w:id="121962693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8610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63490">
                          <w:marLeft w:val="0"/>
                          <w:marRight w:val="0"/>
                          <w:marTop w:val="0"/>
                          <w:marBottom w:val="0"/>
                          <w:divBdr>
                            <w:top w:val="none" w:sz="0" w:space="0" w:color="auto"/>
                            <w:left w:val="none" w:sz="0" w:space="0" w:color="auto"/>
                            <w:bottom w:val="none" w:sz="0" w:space="0" w:color="auto"/>
                            <w:right w:val="none" w:sz="0" w:space="0" w:color="auto"/>
                          </w:divBdr>
                          <w:divsChild>
                            <w:div w:id="884216835">
                              <w:marLeft w:val="0"/>
                              <w:marRight w:val="0"/>
                              <w:marTop w:val="0"/>
                              <w:marBottom w:val="0"/>
                              <w:divBdr>
                                <w:top w:val="none" w:sz="0" w:space="0" w:color="auto"/>
                                <w:left w:val="none" w:sz="0" w:space="0" w:color="auto"/>
                                <w:bottom w:val="none" w:sz="0" w:space="0" w:color="auto"/>
                                <w:right w:val="none" w:sz="0" w:space="0" w:color="auto"/>
                              </w:divBdr>
                              <w:divsChild>
                                <w:div w:id="1716546098">
                                  <w:marLeft w:val="0"/>
                                  <w:marRight w:val="0"/>
                                  <w:marTop w:val="0"/>
                                  <w:marBottom w:val="0"/>
                                  <w:divBdr>
                                    <w:top w:val="none" w:sz="0" w:space="0" w:color="auto"/>
                                    <w:left w:val="none" w:sz="0" w:space="0" w:color="auto"/>
                                    <w:bottom w:val="none" w:sz="0" w:space="0" w:color="auto"/>
                                    <w:right w:val="none" w:sz="0" w:space="0" w:color="auto"/>
                                  </w:divBdr>
                                  <w:divsChild>
                                    <w:div w:id="1398555001">
                                      <w:marLeft w:val="0"/>
                                      <w:marRight w:val="0"/>
                                      <w:marTop w:val="0"/>
                                      <w:marBottom w:val="0"/>
                                      <w:divBdr>
                                        <w:top w:val="none" w:sz="0" w:space="0" w:color="auto"/>
                                        <w:left w:val="none" w:sz="0" w:space="0" w:color="auto"/>
                                        <w:bottom w:val="none" w:sz="0" w:space="0" w:color="auto"/>
                                        <w:right w:val="none" w:sz="0" w:space="0" w:color="auto"/>
                                      </w:divBdr>
                                      <w:divsChild>
                                        <w:div w:id="143353693">
                                          <w:marLeft w:val="0"/>
                                          <w:marRight w:val="0"/>
                                          <w:marTop w:val="0"/>
                                          <w:marBottom w:val="0"/>
                                          <w:divBdr>
                                            <w:top w:val="none" w:sz="0" w:space="0" w:color="auto"/>
                                            <w:left w:val="none" w:sz="0" w:space="0" w:color="auto"/>
                                            <w:bottom w:val="none" w:sz="0" w:space="0" w:color="auto"/>
                                            <w:right w:val="none" w:sz="0" w:space="0" w:color="auto"/>
                                          </w:divBdr>
                                        </w:div>
                                        <w:div w:id="144590591">
                                          <w:marLeft w:val="0"/>
                                          <w:marRight w:val="0"/>
                                          <w:marTop w:val="0"/>
                                          <w:marBottom w:val="0"/>
                                          <w:divBdr>
                                            <w:top w:val="none" w:sz="0" w:space="0" w:color="auto"/>
                                            <w:left w:val="none" w:sz="0" w:space="0" w:color="auto"/>
                                            <w:bottom w:val="none" w:sz="0" w:space="0" w:color="auto"/>
                                            <w:right w:val="none" w:sz="0" w:space="0" w:color="auto"/>
                                          </w:divBdr>
                                        </w:div>
                                        <w:div w:id="577591618">
                                          <w:marLeft w:val="0"/>
                                          <w:marRight w:val="0"/>
                                          <w:marTop w:val="0"/>
                                          <w:marBottom w:val="0"/>
                                          <w:divBdr>
                                            <w:top w:val="none" w:sz="0" w:space="0" w:color="auto"/>
                                            <w:left w:val="none" w:sz="0" w:space="0" w:color="auto"/>
                                            <w:bottom w:val="none" w:sz="0" w:space="0" w:color="auto"/>
                                            <w:right w:val="none" w:sz="0" w:space="0" w:color="auto"/>
                                          </w:divBdr>
                                        </w:div>
                                        <w:div w:id="13566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09340">
                              <w:marLeft w:val="225"/>
                              <w:marRight w:val="0"/>
                              <w:marTop w:val="345"/>
                              <w:marBottom w:val="0"/>
                              <w:divBdr>
                                <w:top w:val="none" w:sz="0" w:space="0" w:color="auto"/>
                                <w:left w:val="none" w:sz="0" w:space="0" w:color="auto"/>
                                <w:bottom w:val="none" w:sz="0" w:space="0" w:color="auto"/>
                                <w:right w:val="none" w:sz="0" w:space="0" w:color="auto"/>
                              </w:divBdr>
                            </w:div>
                          </w:divsChild>
                        </w:div>
                      </w:divsChild>
                    </w:div>
                    <w:div w:id="1348948944">
                      <w:marLeft w:val="0"/>
                      <w:marRight w:val="0"/>
                      <w:marTop w:val="0"/>
                      <w:marBottom w:val="0"/>
                      <w:divBdr>
                        <w:top w:val="none" w:sz="0" w:space="0" w:color="auto"/>
                        <w:left w:val="none" w:sz="0" w:space="0" w:color="auto"/>
                        <w:bottom w:val="none" w:sz="0" w:space="0" w:color="auto"/>
                        <w:right w:val="none" w:sz="0" w:space="0" w:color="auto"/>
                      </w:divBdr>
                      <w:divsChild>
                        <w:div w:id="389425290">
                          <w:marLeft w:val="0"/>
                          <w:marRight w:val="0"/>
                          <w:marTop w:val="0"/>
                          <w:marBottom w:val="0"/>
                          <w:divBdr>
                            <w:top w:val="none" w:sz="0" w:space="0" w:color="auto"/>
                            <w:left w:val="none" w:sz="0" w:space="0" w:color="auto"/>
                            <w:bottom w:val="none" w:sz="0" w:space="0" w:color="auto"/>
                            <w:right w:val="none" w:sz="0" w:space="0" w:color="auto"/>
                          </w:divBdr>
                          <w:divsChild>
                            <w:div w:id="1851604847">
                              <w:marLeft w:val="0"/>
                              <w:marRight w:val="0"/>
                              <w:marTop w:val="0"/>
                              <w:marBottom w:val="0"/>
                              <w:divBdr>
                                <w:top w:val="none" w:sz="0" w:space="0" w:color="auto"/>
                                <w:left w:val="none" w:sz="0" w:space="0" w:color="auto"/>
                                <w:bottom w:val="none" w:sz="0" w:space="0" w:color="auto"/>
                                <w:right w:val="none" w:sz="0" w:space="0" w:color="auto"/>
                              </w:divBdr>
                            </w:div>
                          </w:divsChild>
                        </w:div>
                        <w:div w:id="1073894885">
                          <w:marLeft w:val="-30"/>
                          <w:marRight w:val="0"/>
                          <w:marTop w:val="60"/>
                          <w:marBottom w:val="0"/>
                          <w:divBdr>
                            <w:top w:val="none" w:sz="0" w:space="0" w:color="auto"/>
                            <w:left w:val="none" w:sz="0" w:space="0" w:color="auto"/>
                            <w:bottom w:val="none" w:sz="0" w:space="0" w:color="auto"/>
                            <w:right w:val="none" w:sz="0" w:space="0" w:color="auto"/>
                          </w:divBdr>
                          <w:divsChild>
                            <w:div w:id="1447891931">
                              <w:marLeft w:val="0"/>
                              <w:marRight w:val="0"/>
                              <w:marTop w:val="0"/>
                              <w:marBottom w:val="0"/>
                              <w:divBdr>
                                <w:top w:val="none" w:sz="0" w:space="0" w:color="auto"/>
                                <w:left w:val="none" w:sz="0" w:space="0" w:color="auto"/>
                                <w:bottom w:val="none" w:sz="0" w:space="0" w:color="auto"/>
                                <w:right w:val="none" w:sz="0" w:space="0" w:color="auto"/>
                              </w:divBdr>
                              <w:divsChild>
                                <w:div w:id="12583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542465">
          <w:marLeft w:val="0"/>
          <w:marRight w:val="0"/>
          <w:marTop w:val="0"/>
          <w:marBottom w:val="0"/>
          <w:divBdr>
            <w:top w:val="none" w:sz="0" w:space="0" w:color="auto"/>
            <w:left w:val="none" w:sz="0" w:space="0" w:color="auto"/>
            <w:bottom w:val="none" w:sz="0" w:space="0" w:color="auto"/>
            <w:right w:val="none" w:sz="0" w:space="0" w:color="auto"/>
          </w:divBdr>
          <w:divsChild>
            <w:div w:id="1668169293">
              <w:marLeft w:val="0"/>
              <w:marRight w:val="0"/>
              <w:marTop w:val="0"/>
              <w:marBottom w:val="0"/>
              <w:divBdr>
                <w:top w:val="none" w:sz="0" w:space="0" w:color="auto"/>
                <w:left w:val="none" w:sz="0" w:space="0" w:color="auto"/>
                <w:bottom w:val="none" w:sz="0" w:space="0" w:color="auto"/>
                <w:right w:val="none" w:sz="0" w:space="0" w:color="auto"/>
              </w:divBdr>
              <w:divsChild>
                <w:div w:id="1511410169">
                  <w:marLeft w:val="0"/>
                  <w:marRight w:val="0"/>
                  <w:marTop w:val="0"/>
                  <w:marBottom w:val="0"/>
                  <w:divBdr>
                    <w:top w:val="none" w:sz="0" w:space="0" w:color="auto"/>
                    <w:left w:val="none" w:sz="0" w:space="0" w:color="auto"/>
                    <w:bottom w:val="none" w:sz="0" w:space="0" w:color="auto"/>
                    <w:right w:val="none" w:sz="0" w:space="0" w:color="auto"/>
                  </w:divBdr>
                  <w:divsChild>
                    <w:div w:id="5855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29199">
              <w:marLeft w:val="0"/>
              <w:marRight w:val="0"/>
              <w:marTop w:val="0"/>
              <w:marBottom w:val="0"/>
              <w:divBdr>
                <w:top w:val="none" w:sz="0" w:space="0" w:color="auto"/>
                <w:left w:val="none" w:sz="0" w:space="0" w:color="auto"/>
                <w:bottom w:val="none" w:sz="0" w:space="0" w:color="auto"/>
                <w:right w:val="none" w:sz="0" w:space="0" w:color="auto"/>
              </w:divBdr>
              <w:divsChild>
                <w:div w:id="435830423">
                  <w:marLeft w:val="0"/>
                  <w:marRight w:val="0"/>
                  <w:marTop w:val="0"/>
                  <w:marBottom w:val="0"/>
                  <w:divBdr>
                    <w:top w:val="none" w:sz="0" w:space="0" w:color="auto"/>
                    <w:left w:val="none" w:sz="0" w:space="0" w:color="auto"/>
                    <w:bottom w:val="none" w:sz="0" w:space="0" w:color="auto"/>
                    <w:right w:val="none" w:sz="0" w:space="0" w:color="auto"/>
                  </w:divBdr>
                </w:div>
                <w:div w:id="10388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8075">
          <w:marLeft w:val="0"/>
          <w:marRight w:val="0"/>
          <w:marTop w:val="0"/>
          <w:marBottom w:val="0"/>
          <w:divBdr>
            <w:top w:val="none" w:sz="0" w:space="0" w:color="auto"/>
            <w:left w:val="none" w:sz="0" w:space="0" w:color="auto"/>
            <w:bottom w:val="none" w:sz="0" w:space="0" w:color="auto"/>
            <w:right w:val="none" w:sz="0" w:space="0" w:color="auto"/>
          </w:divBdr>
          <w:divsChild>
            <w:div w:id="795609059">
              <w:marLeft w:val="0"/>
              <w:marRight w:val="0"/>
              <w:marTop w:val="0"/>
              <w:marBottom w:val="0"/>
              <w:divBdr>
                <w:top w:val="none" w:sz="0" w:space="0" w:color="auto"/>
                <w:left w:val="none" w:sz="0" w:space="0" w:color="auto"/>
                <w:bottom w:val="none" w:sz="0" w:space="0" w:color="auto"/>
                <w:right w:val="none" w:sz="0" w:space="0" w:color="auto"/>
              </w:divBdr>
              <w:divsChild>
                <w:div w:id="1148399272">
                  <w:marLeft w:val="0"/>
                  <w:marRight w:val="0"/>
                  <w:marTop w:val="0"/>
                  <w:marBottom w:val="0"/>
                  <w:divBdr>
                    <w:top w:val="none" w:sz="0" w:space="0" w:color="auto"/>
                    <w:left w:val="none" w:sz="0" w:space="0" w:color="auto"/>
                    <w:bottom w:val="none" w:sz="0" w:space="0" w:color="auto"/>
                    <w:right w:val="none" w:sz="0" w:space="0" w:color="auto"/>
                  </w:divBdr>
                  <w:divsChild>
                    <w:div w:id="969284151">
                      <w:marLeft w:val="0"/>
                      <w:marRight w:val="0"/>
                      <w:marTop w:val="0"/>
                      <w:marBottom w:val="0"/>
                      <w:divBdr>
                        <w:top w:val="none" w:sz="0" w:space="0" w:color="auto"/>
                        <w:left w:val="none" w:sz="0" w:space="0" w:color="auto"/>
                        <w:bottom w:val="none" w:sz="0" w:space="0" w:color="auto"/>
                        <w:right w:val="none" w:sz="0" w:space="0" w:color="auto"/>
                      </w:divBdr>
                      <w:divsChild>
                        <w:div w:id="1561361628">
                          <w:marLeft w:val="0"/>
                          <w:marRight w:val="0"/>
                          <w:marTop w:val="0"/>
                          <w:marBottom w:val="0"/>
                          <w:divBdr>
                            <w:top w:val="none" w:sz="0" w:space="0" w:color="auto"/>
                            <w:left w:val="none" w:sz="0" w:space="0" w:color="auto"/>
                            <w:bottom w:val="none" w:sz="0" w:space="0" w:color="auto"/>
                            <w:right w:val="none" w:sz="0" w:space="0" w:color="auto"/>
                          </w:divBdr>
                        </w:div>
                      </w:divsChild>
                    </w:div>
                    <w:div w:id="1024861792">
                      <w:marLeft w:val="0"/>
                      <w:marRight w:val="0"/>
                      <w:marTop w:val="0"/>
                      <w:marBottom w:val="0"/>
                      <w:divBdr>
                        <w:top w:val="none" w:sz="0" w:space="0" w:color="auto"/>
                        <w:left w:val="none" w:sz="0" w:space="0" w:color="auto"/>
                        <w:bottom w:val="none" w:sz="0" w:space="0" w:color="auto"/>
                        <w:right w:val="none" w:sz="0" w:space="0" w:color="auto"/>
                      </w:divBdr>
                      <w:divsChild>
                        <w:div w:id="130620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75951">
                  <w:marLeft w:val="0"/>
                  <w:marRight w:val="0"/>
                  <w:marTop w:val="0"/>
                  <w:marBottom w:val="0"/>
                  <w:divBdr>
                    <w:top w:val="none" w:sz="0" w:space="0" w:color="auto"/>
                    <w:left w:val="none" w:sz="0" w:space="0" w:color="auto"/>
                    <w:bottom w:val="none" w:sz="0" w:space="0" w:color="auto"/>
                    <w:right w:val="none" w:sz="0" w:space="0" w:color="auto"/>
                  </w:divBdr>
                </w:div>
              </w:divsChild>
            </w:div>
            <w:div w:id="1732537082">
              <w:marLeft w:val="0"/>
              <w:marRight w:val="0"/>
              <w:marTop w:val="0"/>
              <w:marBottom w:val="0"/>
              <w:divBdr>
                <w:top w:val="none" w:sz="0" w:space="0" w:color="auto"/>
                <w:left w:val="none" w:sz="0" w:space="0" w:color="auto"/>
                <w:bottom w:val="none" w:sz="0" w:space="0" w:color="auto"/>
                <w:right w:val="none" w:sz="0" w:space="0" w:color="auto"/>
              </w:divBdr>
              <w:divsChild>
                <w:div w:id="218321672">
                  <w:marLeft w:val="0"/>
                  <w:marRight w:val="0"/>
                  <w:marTop w:val="0"/>
                  <w:marBottom w:val="0"/>
                  <w:divBdr>
                    <w:top w:val="none" w:sz="0" w:space="0" w:color="auto"/>
                    <w:left w:val="none" w:sz="0" w:space="0" w:color="auto"/>
                    <w:bottom w:val="none" w:sz="0" w:space="0" w:color="auto"/>
                    <w:right w:val="none" w:sz="0" w:space="0" w:color="auto"/>
                  </w:divBdr>
                </w:div>
                <w:div w:id="418722422">
                  <w:marLeft w:val="0"/>
                  <w:marRight w:val="0"/>
                  <w:marTop w:val="0"/>
                  <w:marBottom w:val="0"/>
                  <w:divBdr>
                    <w:top w:val="none" w:sz="0" w:space="0" w:color="auto"/>
                    <w:left w:val="none" w:sz="0" w:space="0" w:color="auto"/>
                    <w:bottom w:val="none" w:sz="0" w:space="0" w:color="auto"/>
                    <w:right w:val="none" w:sz="0" w:space="0" w:color="auto"/>
                  </w:divBdr>
                  <w:divsChild>
                    <w:div w:id="744105834">
                      <w:marLeft w:val="0"/>
                      <w:marRight w:val="0"/>
                      <w:marTop w:val="0"/>
                      <w:marBottom w:val="0"/>
                      <w:divBdr>
                        <w:top w:val="none" w:sz="0" w:space="0" w:color="auto"/>
                        <w:left w:val="none" w:sz="0" w:space="0" w:color="auto"/>
                        <w:bottom w:val="none" w:sz="0" w:space="0" w:color="auto"/>
                        <w:right w:val="none" w:sz="0" w:space="0" w:color="auto"/>
                      </w:divBdr>
                      <w:divsChild>
                        <w:div w:id="415176207">
                          <w:marLeft w:val="0"/>
                          <w:marRight w:val="0"/>
                          <w:marTop w:val="0"/>
                          <w:marBottom w:val="0"/>
                          <w:divBdr>
                            <w:top w:val="none" w:sz="0" w:space="0" w:color="auto"/>
                            <w:left w:val="none" w:sz="0" w:space="0" w:color="auto"/>
                            <w:bottom w:val="none" w:sz="0" w:space="0" w:color="auto"/>
                            <w:right w:val="none" w:sz="0" w:space="0" w:color="auto"/>
                          </w:divBdr>
                        </w:div>
                        <w:div w:id="810705781">
                          <w:marLeft w:val="0"/>
                          <w:marRight w:val="0"/>
                          <w:marTop w:val="0"/>
                          <w:marBottom w:val="315"/>
                          <w:divBdr>
                            <w:top w:val="single" w:sz="24" w:space="0" w:color="70787C"/>
                            <w:left w:val="none" w:sz="0" w:space="0" w:color="auto"/>
                            <w:bottom w:val="none" w:sz="0" w:space="0" w:color="auto"/>
                            <w:right w:val="none" w:sz="0" w:space="0" w:color="auto"/>
                          </w:divBdr>
                        </w:div>
                        <w:div w:id="1396585180">
                          <w:marLeft w:val="0"/>
                          <w:marRight w:val="0"/>
                          <w:marTop w:val="0"/>
                          <w:marBottom w:val="315"/>
                          <w:divBdr>
                            <w:top w:val="single" w:sz="24" w:space="0" w:color="70787C"/>
                            <w:left w:val="none" w:sz="0" w:space="0" w:color="auto"/>
                            <w:bottom w:val="none" w:sz="0" w:space="0" w:color="auto"/>
                            <w:right w:val="none" w:sz="0" w:space="0" w:color="auto"/>
                          </w:divBdr>
                        </w:div>
                        <w:div w:id="1731226176">
                          <w:marLeft w:val="0"/>
                          <w:marRight w:val="0"/>
                          <w:marTop w:val="0"/>
                          <w:marBottom w:val="315"/>
                          <w:divBdr>
                            <w:top w:val="single" w:sz="24" w:space="0" w:color="70787C"/>
                            <w:left w:val="none" w:sz="0" w:space="0" w:color="auto"/>
                            <w:bottom w:val="none" w:sz="0" w:space="0" w:color="auto"/>
                            <w:right w:val="none" w:sz="0" w:space="0" w:color="auto"/>
                          </w:divBdr>
                          <w:divsChild>
                            <w:div w:id="68239419">
                              <w:marLeft w:val="0"/>
                              <w:marRight w:val="0"/>
                              <w:marTop w:val="0"/>
                              <w:marBottom w:val="0"/>
                              <w:divBdr>
                                <w:top w:val="none" w:sz="0" w:space="0" w:color="auto"/>
                                <w:left w:val="none" w:sz="0" w:space="0" w:color="auto"/>
                                <w:bottom w:val="none" w:sz="0" w:space="0" w:color="auto"/>
                                <w:right w:val="none" w:sz="0" w:space="0" w:color="auto"/>
                              </w:divBdr>
                            </w:div>
                          </w:divsChild>
                        </w:div>
                        <w:div w:id="2110999271">
                          <w:marLeft w:val="0"/>
                          <w:marRight w:val="0"/>
                          <w:marTop w:val="0"/>
                          <w:marBottom w:val="315"/>
                          <w:divBdr>
                            <w:top w:val="single" w:sz="24" w:space="0" w:color="70787C"/>
                            <w:left w:val="none" w:sz="0" w:space="0" w:color="auto"/>
                            <w:bottom w:val="none" w:sz="0" w:space="0" w:color="auto"/>
                            <w:right w:val="none" w:sz="0" w:space="0" w:color="auto"/>
                          </w:divBdr>
                          <w:divsChild>
                            <w:div w:id="828255150">
                              <w:marLeft w:val="0"/>
                              <w:marRight w:val="0"/>
                              <w:marTop w:val="0"/>
                              <w:marBottom w:val="0"/>
                              <w:divBdr>
                                <w:top w:val="none" w:sz="0" w:space="0" w:color="auto"/>
                                <w:left w:val="none" w:sz="0" w:space="0" w:color="auto"/>
                                <w:bottom w:val="none" w:sz="0" w:space="0" w:color="auto"/>
                                <w:right w:val="none" w:sz="0" w:space="0" w:color="auto"/>
                              </w:divBdr>
                            </w:div>
                            <w:div w:id="1393964079">
                              <w:marLeft w:val="0"/>
                              <w:marRight w:val="0"/>
                              <w:marTop w:val="0"/>
                              <w:marBottom w:val="0"/>
                              <w:divBdr>
                                <w:top w:val="none" w:sz="0" w:space="0" w:color="auto"/>
                                <w:left w:val="none" w:sz="0" w:space="0" w:color="auto"/>
                                <w:bottom w:val="none" w:sz="0" w:space="0" w:color="auto"/>
                                <w:right w:val="none" w:sz="0" w:space="0" w:color="auto"/>
                              </w:divBdr>
                              <w:divsChild>
                                <w:div w:id="8139652">
                                  <w:marLeft w:val="0"/>
                                  <w:marRight w:val="0"/>
                                  <w:marTop w:val="0"/>
                                  <w:marBottom w:val="0"/>
                                  <w:divBdr>
                                    <w:top w:val="none" w:sz="0" w:space="0" w:color="auto"/>
                                    <w:left w:val="none" w:sz="0" w:space="0" w:color="auto"/>
                                    <w:bottom w:val="none" w:sz="0" w:space="0" w:color="auto"/>
                                    <w:right w:val="none" w:sz="0" w:space="0" w:color="auto"/>
                                  </w:divBdr>
                                </w:div>
                                <w:div w:id="157119835">
                                  <w:marLeft w:val="0"/>
                                  <w:marRight w:val="0"/>
                                  <w:marTop w:val="0"/>
                                  <w:marBottom w:val="0"/>
                                  <w:divBdr>
                                    <w:top w:val="none" w:sz="0" w:space="0" w:color="auto"/>
                                    <w:left w:val="none" w:sz="0" w:space="0" w:color="auto"/>
                                    <w:bottom w:val="none" w:sz="0" w:space="0" w:color="auto"/>
                                    <w:right w:val="none" w:sz="0" w:space="0" w:color="auto"/>
                                  </w:divBdr>
                                </w:div>
                                <w:div w:id="258757182">
                                  <w:marLeft w:val="0"/>
                                  <w:marRight w:val="0"/>
                                  <w:marTop w:val="0"/>
                                  <w:marBottom w:val="0"/>
                                  <w:divBdr>
                                    <w:top w:val="none" w:sz="0" w:space="0" w:color="auto"/>
                                    <w:left w:val="none" w:sz="0" w:space="0" w:color="auto"/>
                                    <w:bottom w:val="none" w:sz="0" w:space="0" w:color="auto"/>
                                    <w:right w:val="none" w:sz="0" w:space="0" w:color="auto"/>
                                  </w:divBdr>
                                </w:div>
                                <w:div w:id="538784367">
                                  <w:marLeft w:val="0"/>
                                  <w:marRight w:val="0"/>
                                  <w:marTop w:val="0"/>
                                  <w:marBottom w:val="0"/>
                                  <w:divBdr>
                                    <w:top w:val="none" w:sz="0" w:space="0" w:color="auto"/>
                                    <w:left w:val="none" w:sz="0" w:space="0" w:color="auto"/>
                                    <w:bottom w:val="none" w:sz="0" w:space="0" w:color="auto"/>
                                    <w:right w:val="none" w:sz="0" w:space="0" w:color="auto"/>
                                  </w:divBdr>
                                </w:div>
                                <w:div w:id="623391083">
                                  <w:marLeft w:val="0"/>
                                  <w:marRight w:val="0"/>
                                  <w:marTop w:val="0"/>
                                  <w:marBottom w:val="0"/>
                                  <w:divBdr>
                                    <w:top w:val="none" w:sz="0" w:space="0" w:color="auto"/>
                                    <w:left w:val="none" w:sz="0" w:space="0" w:color="auto"/>
                                    <w:bottom w:val="none" w:sz="0" w:space="0" w:color="auto"/>
                                    <w:right w:val="none" w:sz="0" w:space="0" w:color="auto"/>
                                  </w:divBdr>
                                </w:div>
                                <w:div w:id="650981626">
                                  <w:marLeft w:val="0"/>
                                  <w:marRight w:val="0"/>
                                  <w:marTop w:val="0"/>
                                  <w:marBottom w:val="0"/>
                                  <w:divBdr>
                                    <w:top w:val="none" w:sz="0" w:space="0" w:color="auto"/>
                                    <w:left w:val="none" w:sz="0" w:space="0" w:color="auto"/>
                                    <w:bottom w:val="none" w:sz="0" w:space="0" w:color="auto"/>
                                    <w:right w:val="none" w:sz="0" w:space="0" w:color="auto"/>
                                  </w:divBdr>
                                </w:div>
                                <w:div w:id="665287275">
                                  <w:marLeft w:val="0"/>
                                  <w:marRight w:val="0"/>
                                  <w:marTop w:val="0"/>
                                  <w:marBottom w:val="0"/>
                                  <w:divBdr>
                                    <w:top w:val="none" w:sz="0" w:space="0" w:color="auto"/>
                                    <w:left w:val="none" w:sz="0" w:space="0" w:color="auto"/>
                                    <w:bottom w:val="none" w:sz="0" w:space="0" w:color="auto"/>
                                    <w:right w:val="none" w:sz="0" w:space="0" w:color="auto"/>
                                  </w:divBdr>
                                </w:div>
                                <w:div w:id="848369789">
                                  <w:marLeft w:val="0"/>
                                  <w:marRight w:val="0"/>
                                  <w:marTop w:val="0"/>
                                  <w:marBottom w:val="0"/>
                                  <w:divBdr>
                                    <w:top w:val="none" w:sz="0" w:space="0" w:color="auto"/>
                                    <w:left w:val="none" w:sz="0" w:space="0" w:color="auto"/>
                                    <w:bottom w:val="none" w:sz="0" w:space="0" w:color="auto"/>
                                    <w:right w:val="none" w:sz="0" w:space="0" w:color="auto"/>
                                  </w:divBdr>
                                </w:div>
                                <w:div w:id="870458573">
                                  <w:marLeft w:val="0"/>
                                  <w:marRight w:val="0"/>
                                  <w:marTop w:val="0"/>
                                  <w:marBottom w:val="0"/>
                                  <w:divBdr>
                                    <w:top w:val="none" w:sz="0" w:space="0" w:color="auto"/>
                                    <w:left w:val="none" w:sz="0" w:space="0" w:color="auto"/>
                                    <w:bottom w:val="none" w:sz="0" w:space="0" w:color="auto"/>
                                    <w:right w:val="none" w:sz="0" w:space="0" w:color="auto"/>
                                  </w:divBdr>
                                </w:div>
                                <w:div w:id="961377009">
                                  <w:marLeft w:val="0"/>
                                  <w:marRight w:val="0"/>
                                  <w:marTop w:val="0"/>
                                  <w:marBottom w:val="0"/>
                                  <w:divBdr>
                                    <w:top w:val="none" w:sz="0" w:space="0" w:color="auto"/>
                                    <w:left w:val="none" w:sz="0" w:space="0" w:color="auto"/>
                                    <w:bottom w:val="none" w:sz="0" w:space="0" w:color="auto"/>
                                    <w:right w:val="none" w:sz="0" w:space="0" w:color="auto"/>
                                  </w:divBdr>
                                </w:div>
                                <w:div w:id="1009286906">
                                  <w:marLeft w:val="0"/>
                                  <w:marRight w:val="0"/>
                                  <w:marTop w:val="0"/>
                                  <w:marBottom w:val="0"/>
                                  <w:divBdr>
                                    <w:top w:val="none" w:sz="0" w:space="0" w:color="auto"/>
                                    <w:left w:val="none" w:sz="0" w:space="0" w:color="auto"/>
                                    <w:bottom w:val="none" w:sz="0" w:space="0" w:color="auto"/>
                                    <w:right w:val="none" w:sz="0" w:space="0" w:color="auto"/>
                                  </w:divBdr>
                                </w:div>
                                <w:div w:id="1032458571">
                                  <w:marLeft w:val="0"/>
                                  <w:marRight w:val="0"/>
                                  <w:marTop w:val="0"/>
                                  <w:marBottom w:val="0"/>
                                  <w:divBdr>
                                    <w:top w:val="none" w:sz="0" w:space="0" w:color="auto"/>
                                    <w:left w:val="none" w:sz="0" w:space="0" w:color="auto"/>
                                    <w:bottom w:val="none" w:sz="0" w:space="0" w:color="auto"/>
                                    <w:right w:val="none" w:sz="0" w:space="0" w:color="auto"/>
                                  </w:divBdr>
                                </w:div>
                                <w:div w:id="1118717569">
                                  <w:marLeft w:val="0"/>
                                  <w:marRight w:val="0"/>
                                  <w:marTop w:val="0"/>
                                  <w:marBottom w:val="0"/>
                                  <w:divBdr>
                                    <w:top w:val="none" w:sz="0" w:space="0" w:color="auto"/>
                                    <w:left w:val="none" w:sz="0" w:space="0" w:color="auto"/>
                                    <w:bottom w:val="none" w:sz="0" w:space="0" w:color="auto"/>
                                    <w:right w:val="none" w:sz="0" w:space="0" w:color="auto"/>
                                  </w:divBdr>
                                </w:div>
                                <w:div w:id="1141582369">
                                  <w:marLeft w:val="0"/>
                                  <w:marRight w:val="0"/>
                                  <w:marTop w:val="0"/>
                                  <w:marBottom w:val="0"/>
                                  <w:divBdr>
                                    <w:top w:val="none" w:sz="0" w:space="0" w:color="auto"/>
                                    <w:left w:val="none" w:sz="0" w:space="0" w:color="auto"/>
                                    <w:bottom w:val="none" w:sz="0" w:space="0" w:color="auto"/>
                                    <w:right w:val="none" w:sz="0" w:space="0" w:color="auto"/>
                                  </w:divBdr>
                                </w:div>
                                <w:div w:id="1401827977">
                                  <w:marLeft w:val="0"/>
                                  <w:marRight w:val="0"/>
                                  <w:marTop w:val="0"/>
                                  <w:marBottom w:val="0"/>
                                  <w:divBdr>
                                    <w:top w:val="none" w:sz="0" w:space="0" w:color="auto"/>
                                    <w:left w:val="none" w:sz="0" w:space="0" w:color="auto"/>
                                    <w:bottom w:val="none" w:sz="0" w:space="0" w:color="auto"/>
                                    <w:right w:val="none" w:sz="0" w:space="0" w:color="auto"/>
                                  </w:divBdr>
                                </w:div>
                                <w:div w:id="1485856092">
                                  <w:marLeft w:val="0"/>
                                  <w:marRight w:val="0"/>
                                  <w:marTop w:val="0"/>
                                  <w:marBottom w:val="0"/>
                                  <w:divBdr>
                                    <w:top w:val="none" w:sz="0" w:space="0" w:color="auto"/>
                                    <w:left w:val="none" w:sz="0" w:space="0" w:color="auto"/>
                                    <w:bottom w:val="none" w:sz="0" w:space="0" w:color="auto"/>
                                    <w:right w:val="none" w:sz="0" w:space="0" w:color="auto"/>
                                  </w:divBdr>
                                </w:div>
                                <w:div w:id="1494296574">
                                  <w:marLeft w:val="0"/>
                                  <w:marRight w:val="0"/>
                                  <w:marTop w:val="0"/>
                                  <w:marBottom w:val="0"/>
                                  <w:divBdr>
                                    <w:top w:val="none" w:sz="0" w:space="0" w:color="auto"/>
                                    <w:left w:val="none" w:sz="0" w:space="0" w:color="auto"/>
                                    <w:bottom w:val="none" w:sz="0" w:space="0" w:color="auto"/>
                                    <w:right w:val="none" w:sz="0" w:space="0" w:color="auto"/>
                                  </w:divBdr>
                                </w:div>
                                <w:div w:id="1597522336">
                                  <w:marLeft w:val="0"/>
                                  <w:marRight w:val="0"/>
                                  <w:marTop w:val="0"/>
                                  <w:marBottom w:val="0"/>
                                  <w:divBdr>
                                    <w:top w:val="none" w:sz="0" w:space="0" w:color="auto"/>
                                    <w:left w:val="none" w:sz="0" w:space="0" w:color="auto"/>
                                    <w:bottom w:val="none" w:sz="0" w:space="0" w:color="auto"/>
                                    <w:right w:val="none" w:sz="0" w:space="0" w:color="auto"/>
                                  </w:divBdr>
                                </w:div>
                                <w:div w:id="1671592696">
                                  <w:marLeft w:val="0"/>
                                  <w:marRight w:val="0"/>
                                  <w:marTop w:val="0"/>
                                  <w:marBottom w:val="0"/>
                                  <w:divBdr>
                                    <w:top w:val="none" w:sz="0" w:space="0" w:color="auto"/>
                                    <w:left w:val="none" w:sz="0" w:space="0" w:color="auto"/>
                                    <w:bottom w:val="none" w:sz="0" w:space="0" w:color="auto"/>
                                    <w:right w:val="none" w:sz="0" w:space="0" w:color="auto"/>
                                  </w:divBdr>
                                </w:div>
                                <w:div w:id="1712026863">
                                  <w:marLeft w:val="0"/>
                                  <w:marRight w:val="0"/>
                                  <w:marTop w:val="0"/>
                                  <w:marBottom w:val="0"/>
                                  <w:divBdr>
                                    <w:top w:val="none" w:sz="0" w:space="0" w:color="auto"/>
                                    <w:left w:val="none" w:sz="0" w:space="0" w:color="auto"/>
                                    <w:bottom w:val="none" w:sz="0" w:space="0" w:color="auto"/>
                                    <w:right w:val="none" w:sz="0" w:space="0" w:color="auto"/>
                                  </w:divBdr>
                                </w:div>
                                <w:div w:id="1722633883">
                                  <w:marLeft w:val="0"/>
                                  <w:marRight w:val="0"/>
                                  <w:marTop w:val="0"/>
                                  <w:marBottom w:val="0"/>
                                  <w:divBdr>
                                    <w:top w:val="none" w:sz="0" w:space="0" w:color="auto"/>
                                    <w:left w:val="none" w:sz="0" w:space="0" w:color="auto"/>
                                    <w:bottom w:val="none" w:sz="0" w:space="0" w:color="auto"/>
                                    <w:right w:val="none" w:sz="0" w:space="0" w:color="auto"/>
                                  </w:divBdr>
                                </w:div>
                                <w:div w:id="1964188843">
                                  <w:marLeft w:val="0"/>
                                  <w:marRight w:val="0"/>
                                  <w:marTop w:val="0"/>
                                  <w:marBottom w:val="0"/>
                                  <w:divBdr>
                                    <w:top w:val="none" w:sz="0" w:space="0" w:color="auto"/>
                                    <w:left w:val="none" w:sz="0" w:space="0" w:color="auto"/>
                                    <w:bottom w:val="none" w:sz="0" w:space="0" w:color="auto"/>
                                    <w:right w:val="none" w:sz="0" w:space="0" w:color="auto"/>
                                  </w:divBdr>
                                </w:div>
                                <w:div w:id="1975789304">
                                  <w:marLeft w:val="0"/>
                                  <w:marRight w:val="0"/>
                                  <w:marTop w:val="0"/>
                                  <w:marBottom w:val="0"/>
                                  <w:divBdr>
                                    <w:top w:val="none" w:sz="0" w:space="0" w:color="auto"/>
                                    <w:left w:val="none" w:sz="0" w:space="0" w:color="auto"/>
                                    <w:bottom w:val="none" w:sz="0" w:space="0" w:color="auto"/>
                                    <w:right w:val="none" w:sz="0" w:space="0" w:color="auto"/>
                                  </w:divBdr>
                                </w:div>
                                <w:div w:id="213124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814027">
                  <w:marLeft w:val="0"/>
                  <w:marRight w:val="0"/>
                  <w:marTop w:val="0"/>
                  <w:marBottom w:val="0"/>
                  <w:divBdr>
                    <w:top w:val="none" w:sz="0" w:space="0" w:color="auto"/>
                    <w:left w:val="none" w:sz="0" w:space="0" w:color="auto"/>
                    <w:bottom w:val="none" w:sz="0" w:space="0" w:color="auto"/>
                    <w:right w:val="none" w:sz="0" w:space="0" w:color="auto"/>
                  </w:divBdr>
                  <w:divsChild>
                    <w:div w:id="217791366">
                      <w:marLeft w:val="0"/>
                      <w:marRight w:val="0"/>
                      <w:marTop w:val="0"/>
                      <w:marBottom w:val="0"/>
                      <w:divBdr>
                        <w:top w:val="none" w:sz="0" w:space="0" w:color="auto"/>
                        <w:left w:val="none" w:sz="0" w:space="0" w:color="auto"/>
                        <w:bottom w:val="none" w:sz="0" w:space="0" w:color="auto"/>
                        <w:right w:val="none" w:sz="0" w:space="0" w:color="auto"/>
                      </w:divBdr>
                    </w:div>
                    <w:div w:id="402218058">
                      <w:marLeft w:val="0"/>
                      <w:marRight w:val="0"/>
                      <w:marTop w:val="0"/>
                      <w:marBottom w:val="0"/>
                      <w:divBdr>
                        <w:top w:val="none" w:sz="0" w:space="0" w:color="auto"/>
                        <w:left w:val="none" w:sz="0" w:space="0" w:color="auto"/>
                        <w:bottom w:val="none" w:sz="0" w:space="0" w:color="auto"/>
                        <w:right w:val="none" w:sz="0" w:space="0" w:color="auto"/>
                      </w:divBdr>
                    </w:div>
                    <w:div w:id="405883627">
                      <w:marLeft w:val="0"/>
                      <w:marRight w:val="0"/>
                      <w:marTop w:val="0"/>
                      <w:marBottom w:val="0"/>
                      <w:divBdr>
                        <w:top w:val="none" w:sz="0" w:space="0" w:color="auto"/>
                        <w:left w:val="none" w:sz="0" w:space="0" w:color="auto"/>
                        <w:bottom w:val="none" w:sz="0" w:space="0" w:color="auto"/>
                        <w:right w:val="none" w:sz="0" w:space="0" w:color="auto"/>
                      </w:divBdr>
                    </w:div>
                    <w:div w:id="648022701">
                      <w:marLeft w:val="0"/>
                      <w:marRight w:val="0"/>
                      <w:marTop w:val="0"/>
                      <w:marBottom w:val="0"/>
                      <w:divBdr>
                        <w:top w:val="none" w:sz="0" w:space="0" w:color="auto"/>
                        <w:left w:val="none" w:sz="0" w:space="0" w:color="auto"/>
                        <w:bottom w:val="none" w:sz="0" w:space="0" w:color="auto"/>
                        <w:right w:val="none" w:sz="0" w:space="0" w:color="auto"/>
                      </w:divBdr>
                    </w:div>
                    <w:div w:id="716202647">
                      <w:marLeft w:val="0"/>
                      <w:marRight w:val="0"/>
                      <w:marTop w:val="0"/>
                      <w:marBottom w:val="0"/>
                      <w:divBdr>
                        <w:top w:val="none" w:sz="0" w:space="0" w:color="auto"/>
                        <w:left w:val="none" w:sz="0" w:space="0" w:color="auto"/>
                        <w:bottom w:val="none" w:sz="0" w:space="0" w:color="auto"/>
                        <w:right w:val="none" w:sz="0" w:space="0" w:color="auto"/>
                      </w:divBdr>
                    </w:div>
                    <w:div w:id="750853795">
                      <w:marLeft w:val="0"/>
                      <w:marRight w:val="0"/>
                      <w:marTop w:val="0"/>
                      <w:marBottom w:val="0"/>
                      <w:divBdr>
                        <w:top w:val="none" w:sz="0" w:space="0" w:color="auto"/>
                        <w:left w:val="none" w:sz="0" w:space="0" w:color="auto"/>
                        <w:bottom w:val="none" w:sz="0" w:space="0" w:color="auto"/>
                        <w:right w:val="none" w:sz="0" w:space="0" w:color="auto"/>
                      </w:divBdr>
                    </w:div>
                    <w:div w:id="799764036">
                      <w:marLeft w:val="0"/>
                      <w:marRight w:val="0"/>
                      <w:marTop w:val="0"/>
                      <w:marBottom w:val="0"/>
                      <w:divBdr>
                        <w:top w:val="none" w:sz="0" w:space="0" w:color="auto"/>
                        <w:left w:val="none" w:sz="0" w:space="0" w:color="auto"/>
                        <w:bottom w:val="none" w:sz="0" w:space="0" w:color="auto"/>
                        <w:right w:val="none" w:sz="0" w:space="0" w:color="auto"/>
                      </w:divBdr>
                    </w:div>
                    <w:div w:id="820384201">
                      <w:marLeft w:val="0"/>
                      <w:marRight w:val="0"/>
                      <w:marTop w:val="0"/>
                      <w:marBottom w:val="0"/>
                      <w:divBdr>
                        <w:top w:val="none" w:sz="0" w:space="0" w:color="auto"/>
                        <w:left w:val="none" w:sz="0" w:space="0" w:color="auto"/>
                        <w:bottom w:val="none" w:sz="0" w:space="0" w:color="auto"/>
                        <w:right w:val="none" w:sz="0" w:space="0" w:color="auto"/>
                      </w:divBdr>
                    </w:div>
                    <w:div w:id="961806470">
                      <w:marLeft w:val="0"/>
                      <w:marRight w:val="0"/>
                      <w:marTop w:val="0"/>
                      <w:marBottom w:val="0"/>
                      <w:divBdr>
                        <w:top w:val="none" w:sz="0" w:space="0" w:color="auto"/>
                        <w:left w:val="none" w:sz="0" w:space="0" w:color="auto"/>
                        <w:bottom w:val="none" w:sz="0" w:space="0" w:color="auto"/>
                        <w:right w:val="none" w:sz="0" w:space="0" w:color="auto"/>
                      </w:divBdr>
                    </w:div>
                    <w:div w:id="1272127319">
                      <w:marLeft w:val="0"/>
                      <w:marRight w:val="0"/>
                      <w:marTop w:val="0"/>
                      <w:marBottom w:val="0"/>
                      <w:divBdr>
                        <w:top w:val="none" w:sz="0" w:space="0" w:color="auto"/>
                        <w:left w:val="none" w:sz="0" w:space="0" w:color="auto"/>
                        <w:bottom w:val="none" w:sz="0" w:space="0" w:color="auto"/>
                        <w:right w:val="none" w:sz="0" w:space="0" w:color="auto"/>
                      </w:divBdr>
                    </w:div>
                    <w:div w:id="1299797313">
                      <w:marLeft w:val="0"/>
                      <w:marRight w:val="0"/>
                      <w:marTop w:val="0"/>
                      <w:marBottom w:val="0"/>
                      <w:divBdr>
                        <w:top w:val="none" w:sz="0" w:space="0" w:color="auto"/>
                        <w:left w:val="none" w:sz="0" w:space="0" w:color="auto"/>
                        <w:bottom w:val="none" w:sz="0" w:space="0" w:color="auto"/>
                        <w:right w:val="none" w:sz="0" w:space="0" w:color="auto"/>
                      </w:divBdr>
                    </w:div>
                    <w:div w:id="1345665921">
                      <w:marLeft w:val="0"/>
                      <w:marRight w:val="0"/>
                      <w:marTop w:val="0"/>
                      <w:marBottom w:val="0"/>
                      <w:divBdr>
                        <w:top w:val="none" w:sz="0" w:space="0" w:color="auto"/>
                        <w:left w:val="none" w:sz="0" w:space="0" w:color="auto"/>
                        <w:bottom w:val="none" w:sz="0" w:space="0" w:color="auto"/>
                        <w:right w:val="none" w:sz="0" w:space="0" w:color="auto"/>
                      </w:divBdr>
                    </w:div>
                    <w:div w:id="1375810818">
                      <w:marLeft w:val="0"/>
                      <w:marRight w:val="0"/>
                      <w:marTop w:val="0"/>
                      <w:marBottom w:val="0"/>
                      <w:divBdr>
                        <w:top w:val="none" w:sz="0" w:space="0" w:color="auto"/>
                        <w:left w:val="none" w:sz="0" w:space="0" w:color="auto"/>
                        <w:bottom w:val="none" w:sz="0" w:space="0" w:color="auto"/>
                        <w:right w:val="none" w:sz="0" w:space="0" w:color="auto"/>
                      </w:divBdr>
                    </w:div>
                    <w:div w:id="1551381863">
                      <w:marLeft w:val="0"/>
                      <w:marRight w:val="0"/>
                      <w:marTop w:val="0"/>
                      <w:marBottom w:val="0"/>
                      <w:divBdr>
                        <w:top w:val="none" w:sz="0" w:space="0" w:color="auto"/>
                        <w:left w:val="none" w:sz="0" w:space="0" w:color="auto"/>
                        <w:bottom w:val="none" w:sz="0" w:space="0" w:color="auto"/>
                        <w:right w:val="none" w:sz="0" w:space="0" w:color="auto"/>
                      </w:divBdr>
                    </w:div>
                    <w:div w:id="1556504725">
                      <w:marLeft w:val="0"/>
                      <w:marRight w:val="0"/>
                      <w:marTop w:val="0"/>
                      <w:marBottom w:val="0"/>
                      <w:divBdr>
                        <w:top w:val="none" w:sz="0" w:space="0" w:color="auto"/>
                        <w:left w:val="none" w:sz="0" w:space="0" w:color="auto"/>
                        <w:bottom w:val="none" w:sz="0" w:space="0" w:color="auto"/>
                        <w:right w:val="none" w:sz="0" w:space="0" w:color="auto"/>
                      </w:divBdr>
                    </w:div>
                    <w:div w:id="1577786803">
                      <w:marLeft w:val="0"/>
                      <w:marRight w:val="0"/>
                      <w:marTop w:val="0"/>
                      <w:marBottom w:val="0"/>
                      <w:divBdr>
                        <w:top w:val="none" w:sz="0" w:space="0" w:color="auto"/>
                        <w:left w:val="none" w:sz="0" w:space="0" w:color="auto"/>
                        <w:bottom w:val="none" w:sz="0" w:space="0" w:color="auto"/>
                        <w:right w:val="none" w:sz="0" w:space="0" w:color="auto"/>
                      </w:divBdr>
                    </w:div>
                    <w:div w:id="1609118359">
                      <w:marLeft w:val="0"/>
                      <w:marRight w:val="0"/>
                      <w:marTop w:val="0"/>
                      <w:marBottom w:val="0"/>
                      <w:divBdr>
                        <w:top w:val="none" w:sz="0" w:space="0" w:color="auto"/>
                        <w:left w:val="none" w:sz="0" w:space="0" w:color="auto"/>
                        <w:bottom w:val="none" w:sz="0" w:space="0" w:color="auto"/>
                        <w:right w:val="none" w:sz="0" w:space="0" w:color="auto"/>
                      </w:divBdr>
                    </w:div>
                    <w:div w:id="1695112700">
                      <w:marLeft w:val="0"/>
                      <w:marRight w:val="0"/>
                      <w:marTop w:val="0"/>
                      <w:marBottom w:val="0"/>
                      <w:divBdr>
                        <w:top w:val="none" w:sz="0" w:space="0" w:color="auto"/>
                        <w:left w:val="none" w:sz="0" w:space="0" w:color="auto"/>
                        <w:bottom w:val="none" w:sz="0" w:space="0" w:color="auto"/>
                        <w:right w:val="none" w:sz="0" w:space="0" w:color="auto"/>
                      </w:divBdr>
                    </w:div>
                    <w:div w:id="1744790557">
                      <w:marLeft w:val="0"/>
                      <w:marRight w:val="0"/>
                      <w:marTop w:val="0"/>
                      <w:marBottom w:val="0"/>
                      <w:divBdr>
                        <w:top w:val="none" w:sz="0" w:space="0" w:color="auto"/>
                        <w:left w:val="none" w:sz="0" w:space="0" w:color="auto"/>
                        <w:bottom w:val="none" w:sz="0" w:space="0" w:color="auto"/>
                        <w:right w:val="none" w:sz="0" w:space="0" w:color="auto"/>
                      </w:divBdr>
                    </w:div>
                    <w:div w:id="2072923032">
                      <w:marLeft w:val="0"/>
                      <w:marRight w:val="0"/>
                      <w:marTop w:val="0"/>
                      <w:marBottom w:val="0"/>
                      <w:divBdr>
                        <w:top w:val="none" w:sz="0" w:space="0" w:color="auto"/>
                        <w:left w:val="none" w:sz="0" w:space="0" w:color="auto"/>
                        <w:bottom w:val="none" w:sz="0" w:space="0" w:color="auto"/>
                        <w:right w:val="none" w:sz="0" w:space="0" w:color="auto"/>
                      </w:divBdr>
                    </w:div>
                  </w:divsChild>
                </w:div>
                <w:div w:id="854269791">
                  <w:marLeft w:val="150"/>
                  <w:marRight w:val="0"/>
                  <w:marTop w:val="150"/>
                  <w:marBottom w:val="300"/>
                  <w:divBdr>
                    <w:top w:val="none" w:sz="0" w:space="0" w:color="auto"/>
                    <w:left w:val="none" w:sz="0" w:space="0" w:color="auto"/>
                    <w:bottom w:val="none" w:sz="0" w:space="0" w:color="auto"/>
                    <w:right w:val="none" w:sz="0" w:space="0" w:color="auto"/>
                  </w:divBdr>
                  <w:divsChild>
                    <w:div w:id="714239288">
                      <w:marLeft w:val="300"/>
                      <w:marRight w:val="0"/>
                      <w:marTop w:val="0"/>
                      <w:marBottom w:val="0"/>
                      <w:divBdr>
                        <w:top w:val="none" w:sz="0" w:space="0" w:color="auto"/>
                        <w:left w:val="none" w:sz="0" w:space="0" w:color="auto"/>
                        <w:bottom w:val="none" w:sz="0" w:space="0" w:color="auto"/>
                        <w:right w:val="none" w:sz="0" w:space="0" w:color="auto"/>
                      </w:divBdr>
                      <w:divsChild>
                        <w:div w:id="1355305917">
                          <w:marLeft w:val="0"/>
                          <w:marRight w:val="0"/>
                          <w:marTop w:val="0"/>
                          <w:marBottom w:val="0"/>
                          <w:divBdr>
                            <w:top w:val="none" w:sz="0" w:space="0" w:color="auto"/>
                            <w:left w:val="none" w:sz="0" w:space="0" w:color="auto"/>
                            <w:bottom w:val="none" w:sz="0" w:space="0" w:color="auto"/>
                            <w:right w:val="none" w:sz="0" w:space="0" w:color="auto"/>
                          </w:divBdr>
                          <w:divsChild>
                            <w:div w:id="875198107">
                              <w:marLeft w:val="0"/>
                              <w:marRight w:val="0"/>
                              <w:marTop w:val="0"/>
                              <w:marBottom w:val="0"/>
                              <w:divBdr>
                                <w:top w:val="none" w:sz="0" w:space="0" w:color="auto"/>
                                <w:left w:val="none" w:sz="0" w:space="0" w:color="auto"/>
                                <w:bottom w:val="none" w:sz="0" w:space="0" w:color="auto"/>
                                <w:right w:val="none" w:sz="0" w:space="0" w:color="auto"/>
                              </w:divBdr>
                            </w:div>
                          </w:divsChild>
                        </w:div>
                        <w:div w:id="1818841065">
                          <w:marLeft w:val="0"/>
                          <w:marRight w:val="0"/>
                          <w:marTop w:val="0"/>
                          <w:marBottom w:val="0"/>
                          <w:divBdr>
                            <w:top w:val="none" w:sz="0" w:space="0" w:color="auto"/>
                            <w:left w:val="none" w:sz="0" w:space="0" w:color="auto"/>
                            <w:bottom w:val="none" w:sz="0" w:space="0" w:color="auto"/>
                            <w:right w:val="none" w:sz="0" w:space="0" w:color="auto"/>
                          </w:divBdr>
                          <w:divsChild>
                            <w:div w:id="1798640881">
                              <w:marLeft w:val="0"/>
                              <w:marRight w:val="0"/>
                              <w:marTop w:val="0"/>
                              <w:marBottom w:val="0"/>
                              <w:divBdr>
                                <w:top w:val="none" w:sz="0" w:space="0" w:color="auto"/>
                                <w:left w:val="none" w:sz="0" w:space="0" w:color="auto"/>
                                <w:bottom w:val="none" w:sz="0" w:space="0" w:color="auto"/>
                                <w:right w:val="none" w:sz="0" w:space="0" w:color="auto"/>
                              </w:divBdr>
                            </w:div>
                          </w:divsChild>
                        </w:div>
                        <w:div w:id="2030519904">
                          <w:marLeft w:val="0"/>
                          <w:marRight w:val="0"/>
                          <w:marTop w:val="0"/>
                          <w:marBottom w:val="0"/>
                          <w:divBdr>
                            <w:top w:val="none" w:sz="0" w:space="0" w:color="auto"/>
                            <w:left w:val="none" w:sz="0" w:space="0" w:color="auto"/>
                            <w:bottom w:val="none" w:sz="0" w:space="0" w:color="auto"/>
                            <w:right w:val="none" w:sz="0" w:space="0" w:color="auto"/>
                          </w:divBdr>
                          <w:divsChild>
                            <w:div w:id="3610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6174">
                      <w:marLeft w:val="0"/>
                      <w:marRight w:val="0"/>
                      <w:marTop w:val="0"/>
                      <w:marBottom w:val="0"/>
                      <w:divBdr>
                        <w:top w:val="none" w:sz="0" w:space="0" w:color="auto"/>
                        <w:left w:val="none" w:sz="0" w:space="0" w:color="auto"/>
                        <w:bottom w:val="none" w:sz="0" w:space="0" w:color="auto"/>
                        <w:right w:val="single" w:sz="6" w:space="0" w:color="D5D4CF"/>
                      </w:divBdr>
                    </w:div>
                  </w:divsChild>
                </w:div>
                <w:div w:id="1637832631">
                  <w:marLeft w:val="0"/>
                  <w:marRight w:val="0"/>
                  <w:marTop w:val="0"/>
                  <w:marBottom w:val="0"/>
                  <w:divBdr>
                    <w:top w:val="none" w:sz="0" w:space="0" w:color="auto"/>
                    <w:left w:val="none" w:sz="0" w:space="0" w:color="auto"/>
                    <w:bottom w:val="none" w:sz="0" w:space="0" w:color="auto"/>
                    <w:right w:val="none" w:sz="0" w:space="0" w:color="auto"/>
                  </w:divBdr>
                  <w:divsChild>
                    <w:div w:id="561798380">
                      <w:marLeft w:val="0"/>
                      <w:marRight w:val="0"/>
                      <w:marTop w:val="0"/>
                      <w:marBottom w:val="0"/>
                      <w:divBdr>
                        <w:top w:val="none" w:sz="0" w:space="0" w:color="auto"/>
                        <w:left w:val="none" w:sz="0" w:space="0" w:color="auto"/>
                        <w:bottom w:val="none" w:sz="0" w:space="0" w:color="auto"/>
                        <w:right w:val="none" w:sz="0" w:space="0" w:color="auto"/>
                      </w:divBdr>
                      <w:divsChild>
                        <w:div w:id="22172475">
                          <w:marLeft w:val="0"/>
                          <w:marRight w:val="0"/>
                          <w:marTop w:val="0"/>
                          <w:marBottom w:val="0"/>
                          <w:divBdr>
                            <w:top w:val="none" w:sz="0" w:space="0" w:color="auto"/>
                            <w:left w:val="none" w:sz="0" w:space="0" w:color="auto"/>
                            <w:bottom w:val="none" w:sz="0" w:space="0" w:color="auto"/>
                            <w:right w:val="none" w:sz="0" w:space="0" w:color="auto"/>
                          </w:divBdr>
                          <w:divsChild>
                            <w:div w:id="1725445791">
                              <w:marLeft w:val="0"/>
                              <w:marRight w:val="0"/>
                              <w:marTop w:val="0"/>
                              <w:marBottom w:val="0"/>
                              <w:divBdr>
                                <w:top w:val="none" w:sz="0" w:space="0" w:color="auto"/>
                                <w:left w:val="none" w:sz="0" w:space="0" w:color="auto"/>
                                <w:bottom w:val="none" w:sz="0" w:space="0" w:color="auto"/>
                                <w:right w:val="none" w:sz="0" w:space="0" w:color="auto"/>
                              </w:divBdr>
                            </w:div>
                          </w:divsChild>
                        </w:div>
                        <w:div w:id="939068295">
                          <w:marLeft w:val="0"/>
                          <w:marRight w:val="0"/>
                          <w:marTop w:val="0"/>
                          <w:marBottom w:val="0"/>
                          <w:divBdr>
                            <w:top w:val="none" w:sz="0" w:space="0" w:color="auto"/>
                            <w:left w:val="none" w:sz="0" w:space="0" w:color="auto"/>
                            <w:bottom w:val="none" w:sz="0" w:space="0" w:color="auto"/>
                            <w:right w:val="none" w:sz="0" w:space="0" w:color="auto"/>
                          </w:divBdr>
                          <w:divsChild>
                            <w:div w:id="917517047">
                              <w:marLeft w:val="0"/>
                              <w:marRight w:val="0"/>
                              <w:marTop w:val="0"/>
                              <w:marBottom w:val="0"/>
                              <w:divBdr>
                                <w:top w:val="none" w:sz="0" w:space="0" w:color="auto"/>
                                <w:left w:val="none" w:sz="0" w:space="0" w:color="auto"/>
                                <w:bottom w:val="none" w:sz="0" w:space="0" w:color="auto"/>
                                <w:right w:val="none" w:sz="0" w:space="0" w:color="auto"/>
                              </w:divBdr>
                            </w:div>
                          </w:divsChild>
                        </w:div>
                        <w:div w:id="1271357374">
                          <w:marLeft w:val="0"/>
                          <w:marRight w:val="0"/>
                          <w:marTop w:val="0"/>
                          <w:marBottom w:val="0"/>
                          <w:divBdr>
                            <w:top w:val="none" w:sz="0" w:space="0" w:color="auto"/>
                            <w:left w:val="none" w:sz="0" w:space="0" w:color="auto"/>
                            <w:bottom w:val="none" w:sz="0" w:space="0" w:color="auto"/>
                            <w:right w:val="none" w:sz="0" w:space="0" w:color="auto"/>
                          </w:divBdr>
                          <w:divsChild>
                            <w:div w:id="192702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53758">
                      <w:marLeft w:val="0"/>
                      <w:marRight w:val="0"/>
                      <w:marTop w:val="0"/>
                      <w:marBottom w:val="0"/>
                      <w:divBdr>
                        <w:top w:val="none" w:sz="0" w:space="0" w:color="auto"/>
                        <w:left w:val="none" w:sz="0" w:space="0" w:color="auto"/>
                        <w:bottom w:val="none" w:sz="0" w:space="0" w:color="auto"/>
                        <w:right w:val="none" w:sz="0" w:space="0" w:color="auto"/>
                      </w:divBdr>
                    </w:div>
                  </w:divsChild>
                </w:div>
                <w:div w:id="1836266050">
                  <w:marLeft w:val="1500"/>
                  <w:marRight w:val="0"/>
                  <w:marTop w:val="0"/>
                  <w:marBottom w:val="0"/>
                  <w:divBdr>
                    <w:top w:val="none" w:sz="0" w:space="0" w:color="auto"/>
                    <w:left w:val="none" w:sz="0" w:space="0" w:color="auto"/>
                    <w:bottom w:val="none" w:sz="0" w:space="0" w:color="auto"/>
                    <w:right w:val="none" w:sz="0" w:space="0" w:color="auto"/>
                  </w:divBdr>
                  <w:divsChild>
                    <w:div w:id="1266185390">
                      <w:marLeft w:val="0"/>
                      <w:marRight w:val="0"/>
                      <w:marTop w:val="0"/>
                      <w:marBottom w:val="0"/>
                      <w:divBdr>
                        <w:top w:val="single" w:sz="18" w:space="0" w:color="000000"/>
                        <w:left w:val="none" w:sz="0" w:space="0" w:color="EEECE7"/>
                        <w:bottom w:val="none" w:sz="0" w:space="0" w:color="EEECE7"/>
                        <w:right w:val="none" w:sz="0" w:space="0" w:color="EEECE7"/>
                      </w:divBdr>
                      <w:divsChild>
                        <w:div w:id="781148300">
                          <w:marLeft w:val="150"/>
                          <w:marRight w:val="0"/>
                          <w:marTop w:val="75"/>
                          <w:marBottom w:val="0"/>
                          <w:divBdr>
                            <w:top w:val="none" w:sz="0" w:space="0" w:color="auto"/>
                            <w:left w:val="none" w:sz="0" w:space="0" w:color="auto"/>
                            <w:bottom w:val="none" w:sz="0" w:space="0" w:color="auto"/>
                            <w:right w:val="none" w:sz="0" w:space="0" w:color="auto"/>
                          </w:divBdr>
                        </w:div>
                        <w:div w:id="1222712724">
                          <w:marLeft w:val="0"/>
                          <w:marRight w:val="0"/>
                          <w:marTop w:val="0"/>
                          <w:marBottom w:val="0"/>
                          <w:divBdr>
                            <w:top w:val="none" w:sz="0" w:space="0" w:color="auto"/>
                            <w:left w:val="none" w:sz="0" w:space="0" w:color="auto"/>
                            <w:bottom w:val="none" w:sz="0" w:space="0" w:color="auto"/>
                            <w:right w:val="none" w:sz="0" w:space="0" w:color="auto"/>
                          </w:divBdr>
                        </w:div>
                        <w:div w:id="1895966968">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 w:id="2136754554">
                  <w:marLeft w:val="0"/>
                  <w:marRight w:val="0"/>
                  <w:marTop w:val="0"/>
                  <w:marBottom w:val="0"/>
                  <w:divBdr>
                    <w:top w:val="none" w:sz="0" w:space="0" w:color="auto"/>
                    <w:left w:val="none" w:sz="0" w:space="0" w:color="auto"/>
                    <w:bottom w:val="single" w:sz="24" w:space="0" w:color="70787C"/>
                    <w:right w:val="none" w:sz="0" w:space="0" w:color="auto"/>
                  </w:divBdr>
                </w:div>
              </w:divsChild>
            </w:div>
          </w:divsChild>
        </w:div>
      </w:divsChild>
    </w:div>
    <w:div w:id="1189373694">
      <w:marLeft w:val="0"/>
      <w:marRight w:val="0"/>
      <w:marTop w:val="0"/>
      <w:marBottom w:val="0"/>
      <w:divBdr>
        <w:top w:val="none" w:sz="0" w:space="0" w:color="auto"/>
        <w:left w:val="none" w:sz="0" w:space="0" w:color="auto"/>
        <w:bottom w:val="none" w:sz="0" w:space="0" w:color="auto"/>
        <w:right w:val="none" w:sz="0" w:space="0" w:color="auto"/>
      </w:divBdr>
      <w:divsChild>
        <w:div w:id="172234161">
          <w:marLeft w:val="-5220"/>
          <w:marRight w:val="0"/>
          <w:marTop w:val="0"/>
          <w:marBottom w:val="0"/>
          <w:divBdr>
            <w:top w:val="none" w:sz="0" w:space="0" w:color="auto"/>
            <w:left w:val="none" w:sz="0" w:space="0" w:color="auto"/>
            <w:bottom w:val="none" w:sz="0" w:space="0" w:color="auto"/>
            <w:right w:val="none" w:sz="0" w:space="0" w:color="auto"/>
          </w:divBdr>
          <w:divsChild>
            <w:div w:id="2126805408">
              <w:marLeft w:val="0"/>
              <w:marRight w:val="0"/>
              <w:marTop w:val="0"/>
              <w:marBottom w:val="0"/>
              <w:divBdr>
                <w:top w:val="none" w:sz="0" w:space="0" w:color="auto"/>
                <w:left w:val="none" w:sz="0" w:space="0" w:color="auto"/>
                <w:bottom w:val="none" w:sz="0" w:space="0" w:color="auto"/>
                <w:right w:val="none" w:sz="0" w:space="0" w:color="auto"/>
              </w:divBdr>
              <w:divsChild>
                <w:div w:id="209152504">
                  <w:marLeft w:val="-1800"/>
                  <w:marRight w:val="0"/>
                  <w:marTop w:val="0"/>
                  <w:marBottom w:val="0"/>
                  <w:divBdr>
                    <w:top w:val="none" w:sz="0" w:space="0" w:color="auto"/>
                    <w:left w:val="none" w:sz="0" w:space="0" w:color="auto"/>
                    <w:bottom w:val="none" w:sz="0" w:space="0" w:color="auto"/>
                    <w:right w:val="none" w:sz="0" w:space="0" w:color="auto"/>
                  </w:divBdr>
                  <w:divsChild>
                    <w:div w:id="6334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47552">
      <w:bodyDiv w:val="1"/>
      <w:marLeft w:val="0"/>
      <w:marRight w:val="0"/>
      <w:marTop w:val="0"/>
      <w:marBottom w:val="0"/>
      <w:divBdr>
        <w:top w:val="none" w:sz="0" w:space="0" w:color="auto"/>
        <w:left w:val="none" w:sz="0" w:space="0" w:color="auto"/>
        <w:bottom w:val="none" w:sz="0" w:space="0" w:color="auto"/>
        <w:right w:val="none" w:sz="0" w:space="0" w:color="auto"/>
      </w:divBdr>
      <w:divsChild>
        <w:div w:id="1121532102">
          <w:marLeft w:val="0"/>
          <w:marRight w:val="0"/>
          <w:marTop w:val="0"/>
          <w:marBottom w:val="0"/>
          <w:divBdr>
            <w:top w:val="none" w:sz="0" w:space="0" w:color="auto"/>
            <w:left w:val="none" w:sz="0" w:space="0" w:color="auto"/>
            <w:bottom w:val="none" w:sz="0" w:space="0" w:color="auto"/>
            <w:right w:val="none" w:sz="0" w:space="0" w:color="auto"/>
          </w:divBdr>
          <w:divsChild>
            <w:div w:id="11282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7713">
      <w:bodyDiv w:val="1"/>
      <w:marLeft w:val="0"/>
      <w:marRight w:val="0"/>
      <w:marTop w:val="0"/>
      <w:marBottom w:val="0"/>
      <w:divBdr>
        <w:top w:val="none" w:sz="0" w:space="0" w:color="auto"/>
        <w:left w:val="none" w:sz="0" w:space="0" w:color="auto"/>
        <w:bottom w:val="none" w:sz="0" w:space="0" w:color="auto"/>
        <w:right w:val="none" w:sz="0" w:space="0" w:color="auto"/>
      </w:divBdr>
    </w:div>
    <w:div w:id="1514803510">
      <w:marLeft w:val="0"/>
      <w:marRight w:val="0"/>
      <w:marTop w:val="0"/>
      <w:marBottom w:val="0"/>
      <w:divBdr>
        <w:top w:val="none" w:sz="0" w:space="0" w:color="auto"/>
        <w:left w:val="none" w:sz="0" w:space="0" w:color="auto"/>
        <w:bottom w:val="none" w:sz="0" w:space="0" w:color="auto"/>
        <w:right w:val="none" w:sz="0" w:space="0" w:color="auto"/>
      </w:divBdr>
      <w:divsChild>
        <w:div w:id="1905873648">
          <w:marLeft w:val="-5220"/>
          <w:marRight w:val="0"/>
          <w:marTop w:val="0"/>
          <w:marBottom w:val="0"/>
          <w:divBdr>
            <w:top w:val="none" w:sz="0" w:space="0" w:color="auto"/>
            <w:left w:val="none" w:sz="0" w:space="0" w:color="auto"/>
            <w:bottom w:val="none" w:sz="0" w:space="0" w:color="auto"/>
            <w:right w:val="none" w:sz="0" w:space="0" w:color="auto"/>
          </w:divBdr>
          <w:divsChild>
            <w:div w:id="591934684">
              <w:marLeft w:val="0"/>
              <w:marRight w:val="0"/>
              <w:marTop w:val="0"/>
              <w:marBottom w:val="0"/>
              <w:divBdr>
                <w:top w:val="none" w:sz="0" w:space="0" w:color="auto"/>
                <w:left w:val="none" w:sz="0" w:space="0" w:color="auto"/>
                <w:bottom w:val="none" w:sz="0" w:space="0" w:color="auto"/>
                <w:right w:val="none" w:sz="0" w:space="0" w:color="auto"/>
              </w:divBdr>
              <w:divsChild>
                <w:div w:id="1467967783">
                  <w:marLeft w:val="-1800"/>
                  <w:marRight w:val="0"/>
                  <w:marTop w:val="0"/>
                  <w:marBottom w:val="0"/>
                  <w:divBdr>
                    <w:top w:val="none" w:sz="0" w:space="0" w:color="auto"/>
                    <w:left w:val="none" w:sz="0" w:space="0" w:color="auto"/>
                    <w:bottom w:val="none" w:sz="0" w:space="0" w:color="auto"/>
                    <w:right w:val="none" w:sz="0" w:space="0" w:color="auto"/>
                  </w:divBdr>
                  <w:divsChild>
                    <w:div w:id="8534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3096">
      <w:bodyDiv w:val="1"/>
      <w:marLeft w:val="0"/>
      <w:marRight w:val="0"/>
      <w:marTop w:val="0"/>
      <w:marBottom w:val="0"/>
      <w:divBdr>
        <w:top w:val="none" w:sz="0" w:space="0" w:color="auto"/>
        <w:left w:val="none" w:sz="0" w:space="0" w:color="auto"/>
        <w:bottom w:val="none" w:sz="0" w:space="0" w:color="auto"/>
        <w:right w:val="none" w:sz="0" w:space="0" w:color="auto"/>
      </w:divBdr>
    </w:div>
    <w:div w:id="1956715069">
      <w:marLeft w:val="0"/>
      <w:marRight w:val="0"/>
      <w:marTop w:val="0"/>
      <w:marBottom w:val="0"/>
      <w:divBdr>
        <w:top w:val="none" w:sz="0" w:space="0" w:color="auto"/>
        <w:left w:val="none" w:sz="0" w:space="0" w:color="auto"/>
        <w:bottom w:val="none" w:sz="0" w:space="0" w:color="auto"/>
        <w:right w:val="none" w:sz="0" w:space="0" w:color="auto"/>
      </w:divBdr>
      <w:divsChild>
        <w:div w:id="214316287">
          <w:marLeft w:val="0"/>
          <w:marRight w:val="0"/>
          <w:marTop w:val="0"/>
          <w:marBottom w:val="0"/>
          <w:divBdr>
            <w:top w:val="none" w:sz="0" w:space="0" w:color="auto"/>
            <w:left w:val="none" w:sz="0" w:space="0" w:color="auto"/>
            <w:bottom w:val="none" w:sz="0" w:space="0" w:color="auto"/>
            <w:right w:val="none" w:sz="0" w:space="0" w:color="auto"/>
          </w:divBdr>
        </w:div>
        <w:div w:id="304358337">
          <w:marLeft w:val="0"/>
          <w:marRight w:val="0"/>
          <w:marTop w:val="0"/>
          <w:marBottom w:val="0"/>
          <w:divBdr>
            <w:top w:val="none" w:sz="0" w:space="0" w:color="auto"/>
            <w:left w:val="none" w:sz="0" w:space="0" w:color="auto"/>
            <w:bottom w:val="none" w:sz="0" w:space="0" w:color="auto"/>
            <w:right w:val="none" w:sz="0" w:space="0" w:color="auto"/>
          </w:divBdr>
        </w:div>
        <w:div w:id="1017315448">
          <w:marLeft w:val="0"/>
          <w:marRight w:val="0"/>
          <w:marTop w:val="0"/>
          <w:marBottom w:val="0"/>
          <w:divBdr>
            <w:top w:val="none" w:sz="0" w:space="0" w:color="auto"/>
            <w:left w:val="none" w:sz="0" w:space="0" w:color="auto"/>
            <w:bottom w:val="none" w:sz="0" w:space="0" w:color="auto"/>
            <w:right w:val="none" w:sz="0" w:space="0" w:color="auto"/>
          </w:divBdr>
        </w:div>
        <w:div w:id="1100686259">
          <w:marLeft w:val="0"/>
          <w:marRight w:val="0"/>
          <w:marTop w:val="0"/>
          <w:marBottom w:val="0"/>
          <w:divBdr>
            <w:top w:val="none" w:sz="0" w:space="0" w:color="auto"/>
            <w:left w:val="none" w:sz="0" w:space="0" w:color="auto"/>
            <w:bottom w:val="none" w:sz="0" w:space="0" w:color="auto"/>
            <w:right w:val="none" w:sz="0" w:space="0" w:color="auto"/>
          </w:divBdr>
        </w:div>
        <w:div w:id="1346008538">
          <w:marLeft w:val="0"/>
          <w:marRight w:val="0"/>
          <w:marTop w:val="0"/>
          <w:marBottom w:val="0"/>
          <w:divBdr>
            <w:top w:val="none" w:sz="0" w:space="0" w:color="auto"/>
            <w:left w:val="none" w:sz="0" w:space="0" w:color="auto"/>
            <w:bottom w:val="none" w:sz="0" w:space="0" w:color="auto"/>
            <w:right w:val="none" w:sz="0" w:space="0" w:color="auto"/>
          </w:divBdr>
        </w:div>
        <w:div w:id="1719548132">
          <w:marLeft w:val="0"/>
          <w:marRight w:val="0"/>
          <w:marTop w:val="0"/>
          <w:marBottom w:val="0"/>
          <w:divBdr>
            <w:top w:val="none" w:sz="0" w:space="0" w:color="auto"/>
            <w:left w:val="none" w:sz="0" w:space="0" w:color="auto"/>
            <w:bottom w:val="none" w:sz="0" w:space="0" w:color="auto"/>
            <w:right w:val="none" w:sz="0" w:space="0" w:color="auto"/>
          </w:divBdr>
        </w:div>
      </w:divsChild>
    </w:div>
    <w:div w:id="1982953056">
      <w:bodyDiv w:val="1"/>
      <w:marLeft w:val="0"/>
      <w:marRight w:val="0"/>
      <w:marTop w:val="0"/>
      <w:marBottom w:val="0"/>
      <w:divBdr>
        <w:top w:val="none" w:sz="0" w:space="0" w:color="auto"/>
        <w:left w:val="none" w:sz="0" w:space="0" w:color="auto"/>
        <w:bottom w:val="none" w:sz="0" w:space="0" w:color="auto"/>
        <w:right w:val="none" w:sz="0" w:space="0" w:color="auto"/>
      </w:divBdr>
    </w:div>
    <w:div w:id="2127194571">
      <w:marLeft w:val="0"/>
      <w:marRight w:val="0"/>
      <w:marTop w:val="0"/>
      <w:marBottom w:val="0"/>
      <w:divBdr>
        <w:top w:val="none" w:sz="0" w:space="0" w:color="auto"/>
        <w:left w:val="none" w:sz="0" w:space="0" w:color="auto"/>
        <w:bottom w:val="none" w:sz="0" w:space="0" w:color="auto"/>
        <w:right w:val="none" w:sz="0" w:space="0" w:color="auto"/>
      </w:divBdr>
      <w:divsChild>
        <w:div w:id="184636762">
          <w:marLeft w:val="-5220"/>
          <w:marRight w:val="0"/>
          <w:marTop w:val="0"/>
          <w:marBottom w:val="0"/>
          <w:divBdr>
            <w:top w:val="none" w:sz="0" w:space="0" w:color="auto"/>
            <w:left w:val="none" w:sz="0" w:space="0" w:color="auto"/>
            <w:bottom w:val="none" w:sz="0" w:space="0" w:color="auto"/>
            <w:right w:val="none" w:sz="0" w:space="0" w:color="auto"/>
          </w:divBdr>
          <w:divsChild>
            <w:div w:id="1449617422">
              <w:marLeft w:val="0"/>
              <w:marRight w:val="0"/>
              <w:marTop w:val="0"/>
              <w:marBottom w:val="0"/>
              <w:divBdr>
                <w:top w:val="none" w:sz="0" w:space="0" w:color="auto"/>
                <w:left w:val="none" w:sz="0" w:space="0" w:color="auto"/>
                <w:bottom w:val="none" w:sz="0" w:space="0" w:color="auto"/>
                <w:right w:val="none" w:sz="0" w:space="0" w:color="auto"/>
              </w:divBdr>
              <w:divsChild>
                <w:div w:id="788359501">
                  <w:marLeft w:val="-1635"/>
                  <w:marRight w:val="0"/>
                  <w:marTop w:val="0"/>
                  <w:marBottom w:val="0"/>
                  <w:divBdr>
                    <w:top w:val="none" w:sz="0" w:space="0" w:color="auto"/>
                    <w:left w:val="none" w:sz="0" w:space="0" w:color="auto"/>
                    <w:bottom w:val="none" w:sz="0" w:space="0" w:color="auto"/>
                    <w:right w:val="none" w:sz="0" w:space="0" w:color="auto"/>
                  </w:divBdr>
                  <w:divsChild>
                    <w:div w:id="122622561">
                      <w:marLeft w:val="0"/>
                      <w:marRight w:val="0"/>
                      <w:marTop w:val="0"/>
                      <w:marBottom w:val="0"/>
                      <w:divBdr>
                        <w:top w:val="none" w:sz="0" w:space="0" w:color="auto"/>
                        <w:left w:val="none" w:sz="0" w:space="0" w:color="auto"/>
                        <w:bottom w:val="none" w:sz="0" w:space="0" w:color="auto"/>
                        <w:right w:val="none" w:sz="0" w:space="0" w:color="auto"/>
                      </w:divBdr>
                    </w:div>
                    <w:div w:id="538903394">
                      <w:marLeft w:val="0"/>
                      <w:marRight w:val="0"/>
                      <w:marTop w:val="0"/>
                      <w:marBottom w:val="0"/>
                      <w:divBdr>
                        <w:top w:val="none" w:sz="0" w:space="0" w:color="auto"/>
                        <w:left w:val="none" w:sz="0" w:space="0" w:color="auto"/>
                        <w:bottom w:val="none" w:sz="0" w:space="0" w:color="auto"/>
                        <w:right w:val="none" w:sz="0" w:space="0" w:color="auto"/>
                      </w:divBdr>
                    </w:div>
                    <w:div w:id="713117266">
                      <w:marLeft w:val="0"/>
                      <w:marRight w:val="0"/>
                      <w:marTop w:val="0"/>
                      <w:marBottom w:val="0"/>
                      <w:divBdr>
                        <w:top w:val="none" w:sz="0" w:space="0" w:color="auto"/>
                        <w:left w:val="none" w:sz="0" w:space="0" w:color="auto"/>
                        <w:bottom w:val="none" w:sz="0" w:space="0" w:color="auto"/>
                        <w:right w:val="none" w:sz="0" w:space="0" w:color="auto"/>
                      </w:divBdr>
                      <w:divsChild>
                        <w:div w:id="1115058545">
                          <w:marLeft w:val="0"/>
                          <w:marRight w:val="0"/>
                          <w:marTop w:val="0"/>
                          <w:marBottom w:val="0"/>
                          <w:divBdr>
                            <w:top w:val="none" w:sz="0" w:space="0" w:color="auto"/>
                            <w:left w:val="none" w:sz="0" w:space="0" w:color="auto"/>
                            <w:bottom w:val="none" w:sz="0" w:space="0" w:color="auto"/>
                            <w:right w:val="none" w:sz="0" w:space="0" w:color="auto"/>
                          </w:divBdr>
                        </w:div>
                      </w:divsChild>
                    </w:div>
                    <w:div w:id="1216816316">
                      <w:marLeft w:val="0"/>
                      <w:marRight w:val="0"/>
                      <w:marTop w:val="0"/>
                      <w:marBottom w:val="0"/>
                      <w:divBdr>
                        <w:top w:val="none" w:sz="0" w:space="0" w:color="auto"/>
                        <w:left w:val="none" w:sz="0" w:space="0" w:color="auto"/>
                        <w:bottom w:val="none" w:sz="0" w:space="0" w:color="auto"/>
                        <w:right w:val="none" w:sz="0" w:space="0" w:color="auto"/>
                      </w:divBdr>
                    </w:div>
                    <w:div w:id="1412005787">
                      <w:marLeft w:val="0"/>
                      <w:marRight w:val="0"/>
                      <w:marTop w:val="0"/>
                      <w:marBottom w:val="0"/>
                      <w:divBdr>
                        <w:top w:val="none" w:sz="0" w:space="0" w:color="auto"/>
                        <w:left w:val="none" w:sz="0" w:space="0" w:color="auto"/>
                        <w:bottom w:val="none" w:sz="0" w:space="0" w:color="auto"/>
                        <w:right w:val="none" w:sz="0" w:space="0" w:color="auto"/>
                      </w:divBdr>
                    </w:div>
                    <w:div w:id="16395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ield@scu.edu"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ederalreserve.gov/newsevents/speech/bernanke20100103a.ht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nz.govt.nz/monetary_policy/oc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www.federalreserve.gov/newsevents/speech/mishkin20070524a.htm" TargetMode="External"/><Relationship Id="rId10" Type="http://schemas.openxmlformats.org/officeDocument/2006/relationships/hyperlink" Target="http://www.bankofengland.co.uk/monetarypolicy/Pages/decisions.aspx"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newyorkfed.org/markets/statistics/dlyrates/fedrate.html" TargetMode="External"/><Relationship Id="rId14" Type="http://schemas.openxmlformats.org/officeDocument/2006/relationships/chart" Target="charts/chart3.xml"/><Relationship Id="rId22" Type="http://schemas.openxmlformats.org/officeDocument/2006/relationships/hyperlink" Target="https://www.cbo.gov/sites/default/files/108th-congress-2003-2004/reports/03-16-gdp.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ex\OneDrive\Research\New%20Projects\Taylor%20Rule%201920s\Interest%20rates%20Master.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Alex\OneDrive\Research\New%20Projects\Taylor%20Rule%201920s\Ca213-218%20potential%20based%20on%201923-29.xls"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lex\OneDrive\Research\New%20Projects\Taylor%20Rule%201920s\Deviation%20from%20potential%20based%20on%20IP-AJF.xls"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lex\OneDrive\Research\New%20Projects\Taylor%20Rule%201920s\Deviation%20from%20potential%20based%20on%20IP.xls"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C:\Users\Alex\OneDrive\Research\New%20Projects\Taylor%20Rule%201920s\Inflation%20Master%20Ca213-218.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Alex\OneDrive\Research\New%20Projects\Taylor%20Rule%201920s\Deviation%20from%20potential%20based%20on%20IP-AJF.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lex\OneDrive\Research\New%20Projects\Taylor%20Rule%201920s\Deviation%20from%20potential%20based%20on%20IP-AJF.xls"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Alex\OneDrive\Research\New%20Projects\Taylor%20Rule%201920s\Deviation%20from%20potential%20based%20on%20IP-AJF.xls" TargetMode="External"/><Relationship Id="rId2" Type="http://schemas.microsoft.com/office/2011/relationships/chartColorStyle" Target="colors4.xml"/><Relationship Id="rId1" Type="http://schemas.microsoft.com/office/2011/relationships/chartStyle" Target="style4.xml"/></Relationships>
</file>

<file path=word/charts/_rels/chart9.xml.rels><?xml version="1.0" encoding="UTF-8" standalone="yes"?>
<Relationships xmlns="http://schemas.openxmlformats.org/package/2006/relationships"><Relationship Id="rId3" Type="http://schemas.openxmlformats.org/officeDocument/2006/relationships/oleObject" Target="https://d.docs.live.net/f1c431ff64eea8b1/Research/New%20Projects/Taylor%20Rule%201920s/Taylor%20Rule%20Master%2002%2016.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Figure 1</a:t>
            </a:r>
          </a:p>
          <a:p>
            <a:pPr>
              <a:defRPr sz="1400" b="0" i="0" u="none" strike="noStrike" kern="1200" spc="0" baseline="0">
                <a:solidFill>
                  <a:schemeClr val="tx1">
                    <a:lumMod val="65000"/>
                    <a:lumOff val="35000"/>
                  </a:schemeClr>
                </a:solidFill>
                <a:latin typeface="+mn-lt"/>
                <a:ea typeface="+mn-ea"/>
                <a:cs typeface="+mn-cs"/>
              </a:defRPr>
            </a:pPr>
            <a:r>
              <a:rPr lang="en-US"/>
              <a:t>Short</a:t>
            </a:r>
            <a:r>
              <a:rPr lang="en-US" baseline="0"/>
              <a:t> Term Interest Rates, United States, 1919-1929</a:t>
            </a:r>
            <a:endParaRPr lang="en-US"/>
          </a:p>
        </c:rich>
      </c:tx>
      <c:overlay val="0"/>
      <c:spPr>
        <a:noFill/>
        <a:ln>
          <a:noFill/>
        </a:ln>
        <a:effectLst/>
      </c:spPr>
    </c:title>
    <c:autoTitleDeleted val="0"/>
    <c:plotArea>
      <c:layout>
        <c:manualLayout>
          <c:layoutTarget val="inner"/>
          <c:xMode val="edge"/>
          <c:yMode val="edge"/>
          <c:x val="6.5888486421741776E-2"/>
          <c:y val="1.3214487875368748E-2"/>
          <c:w val="0.93411151357825828"/>
          <c:h val="0.72532146318508661"/>
        </c:manualLayout>
      </c:layout>
      <c:lineChart>
        <c:grouping val="standard"/>
        <c:varyColors val="0"/>
        <c:ser>
          <c:idx val="0"/>
          <c:order val="0"/>
          <c:tx>
            <c:v>Bankers Acceptances</c:v>
          </c:tx>
          <c:spPr>
            <a:ln w="28575" cap="rnd">
              <a:solidFill>
                <a:schemeClr val="accent1"/>
              </a:solidFill>
              <a:round/>
            </a:ln>
            <a:effectLst/>
          </c:spPr>
          <c:marker>
            <c:symbol val="none"/>
          </c:marker>
          <c:cat>
            <c:numRef>
              <c:f>'Vintages Starting 2005-08-01'!$A$19:$A$150</c:f>
              <c:numCache>
                <c:formatCode>yyyy\-mm\-dd</c:formatCode>
                <c:ptCount val="132"/>
                <c:pt idx="0">
                  <c:v>6941</c:v>
                </c:pt>
                <c:pt idx="1">
                  <c:v>6972</c:v>
                </c:pt>
                <c:pt idx="2">
                  <c:v>7000</c:v>
                </c:pt>
                <c:pt idx="3">
                  <c:v>7031</c:v>
                </c:pt>
                <c:pt idx="4">
                  <c:v>7061</c:v>
                </c:pt>
                <c:pt idx="5">
                  <c:v>7092</c:v>
                </c:pt>
                <c:pt idx="6">
                  <c:v>7122</c:v>
                </c:pt>
                <c:pt idx="7">
                  <c:v>7153</c:v>
                </c:pt>
                <c:pt idx="8">
                  <c:v>7184</c:v>
                </c:pt>
                <c:pt idx="9">
                  <c:v>7214</c:v>
                </c:pt>
                <c:pt idx="10">
                  <c:v>7245</c:v>
                </c:pt>
                <c:pt idx="11">
                  <c:v>7275</c:v>
                </c:pt>
                <c:pt idx="12">
                  <c:v>7306</c:v>
                </c:pt>
                <c:pt idx="13">
                  <c:v>7337</c:v>
                </c:pt>
                <c:pt idx="14">
                  <c:v>7366</c:v>
                </c:pt>
                <c:pt idx="15">
                  <c:v>7397</c:v>
                </c:pt>
                <c:pt idx="16">
                  <c:v>7427</c:v>
                </c:pt>
                <c:pt idx="17">
                  <c:v>7458</c:v>
                </c:pt>
                <c:pt idx="18">
                  <c:v>7488</c:v>
                </c:pt>
                <c:pt idx="19">
                  <c:v>7519</c:v>
                </c:pt>
                <c:pt idx="20">
                  <c:v>7550</c:v>
                </c:pt>
                <c:pt idx="21">
                  <c:v>7580</c:v>
                </c:pt>
                <c:pt idx="22">
                  <c:v>7611</c:v>
                </c:pt>
                <c:pt idx="23">
                  <c:v>7641</c:v>
                </c:pt>
                <c:pt idx="24">
                  <c:v>7672</c:v>
                </c:pt>
                <c:pt idx="25">
                  <c:v>7703</c:v>
                </c:pt>
                <c:pt idx="26">
                  <c:v>7731</c:v>
                </c:pt>
                <c:pt idx="27">
                  <c:v>7762</c:v>
                </c:pt>
                <c:pt idx="28">
                  <c:v>7792</c:v>
                </c:pt>
                <c:pt idx="29">
                  <c:v>7823</c:v>
                </c:pt>
                <c:pt idx="30">
                  <c:v>7853</c:v>
                </c:pt>
                <c:pt idx="31">
                  <c:v>7884</c:v>
                </c:pt>
                <c:pt idx="32">
                  <c:v>7915</c:v>
                </c:pt>
                <c:pt idx="33">
                  <c:v>7945</c:v>
                </c:pt>
                <c:pt idx="34">
                  <c:v>7976</c:v>
                </c:pt>
                <c:pt idx="35">
                  <c:v>8006</c:v>
                </c:pt>
                <c:pt idx="36">
                  <c:v>8037</c:v>
                </c:pt>
                <c:pt idx="37">
                  <c:v>8068</c:v>
                </c:pt>
                <c:pt idx="38">
                  <c:v>8096</c:v>
                </c:pt>
                <c:pt idx="39">
                  <c:v>8127</c:v>
                </c:pt>
                <c:pt idx="40">
                  <c:v>8157</c:v>
                </c:pt>
                <c:pt idx="41">
                  <c:v>8188</c:v>
                </c:pt>
                <c:pt idx="42">
                  <c:v>8218</c:v>
                </c:pt>
                <c:pt idx="43">
                  <c:v>8249</c:v>
                </c:pt>
                <c:pt idx="44">
                  <c:v>8280</c:v>
                </c:pt>
                <c:pt idx="45">
                  <c:v>8310</c:v>
                </c:pt>
                <c:pt idx="46">
                  <c:v>8341</c:v>
                </c:pt>
                <c:pt idx="47">
                  <c:v>8371</c:v>
                </c:pt>
                <c:pt idx="48">
                  <c:v>8402</c:v>
                </c:pt>
                <c:pt idx="49">
                  <c:v>8433</c:v>
                </c:pt>
                <c:pt idx="50">
                  <c:v>8461</c:v>
                </c:pt>
                <c:pt idx="51">
                  <c:v>8492</c:v>
                </c:pt>
                <c:pt idx="52">
                  <c:v>8522</c:v>
                </c:pt>
                <c:pt idx="53">
                  <c:v>8553</c:v>
                </c:pt>
                <c:pt idx="54">
                  <c:v>8583</c:v>
                </c:pt>
                <c:pt idx="55">
                  <c:v>8614</c:v>
                </c:pt>
                <c:pt idx="56">
                  <c:v>8645</c:v>
                </c:pt>
                <c:pt idx="57">
                  <c:v>8675</c:v>
                </c:pt>
                <c:pt idx="58">
                  <c:v>8706</c:v>
                </c:pt>
                <c:pt idx="59">
                  <c:v>8736</c:v>
                </c:pt>
                <c:pt idx="60">
                  <c:v>8767</c:v>
                </c:pt>
                <c:pt idx="61">
                  <c:v>8798</c:v>
                </c:pt>
                <c:pt idx="62">
                  <c:v>8827</c:v>
                </c:pt>
                <c:pt idx="63">
                  <c:v>8858</c:v>
                </c:pt>
                <c:pt idx="64">
                  <c:v>8888</c:v>
                </c:pt>
                <c:pt idx="65">
                  <c:v>8919</c:v>
                </c:pt>
                <c:pt idx="66">
                  <c:v>8949</c:v>
                </c:pt>
                <c:pt idx="67">
                  <c:v>8980</c:v>
                </c:pt>
                <c:pt idx="68">
                  <c:v>9011</c:v>
                </c:pt>
                <c:pt idx="69">
                  <c:v>9041</c:v>
                </c:pt>
                <c:pt idx="70">
                  <c:v>9072</c:v>
                </c:pt>
                <c:pt idx="71">
                  <c:v>9102</c:v>
                </c:pt>
                <c:pt idx="72">
                  <c:v>9133</c:v>
                </c:pt>
                <c:pt idx="73">
                  <c:v>9164</c:v>
                </c:pt>
                <c:pt idx="74">
                  <c:v>9192</c:v>
                </c:pt>
                <c:pt idx="75">
                  <c:v>9223</c:v>
                </c:pt>
                <c:pt idx="76">
                  <c:v>9253</c:v>
                </c:pt>
                <c:pt idx="77">
                  <c:v>9284</c:v>
                </c:pt>
                <c:pt idx="78">
                  <c:v>9314</c:v>
                </c:pt>
                <c:pt idx="79">
                  <c:v>9345</c:v>
                </c:pt>
                <c:pt idx="80">
                  <c:v>9376</c:v>
                </c:pt>
                <c:pt idx="81">
                  <c:v>9406</c:v>
                </c:pt>
                <c:pt idx="82">
                  <c:v>9437</c:v>
                </c:pt>
                <c:pt idx="83">
                  <c:v>9467</c:v>
                </c:pt>
                <c:pt idx="84">
                  <c:v>9498</c:v>
                </c:pt>
                <c:pt idx="85">
                  <c:v>9529</c:v>
                </c:pt>
                <c:pt idx="86">
                  <c:v>9557</c:v>
                </c:pt>
                <c:pt idx="87">
                  <c:v>9588</c:v>
                </c:pt>
                <c:pt idx="88">
                  <c:v>9618</c:v>
                </c:pt>
                <c:pt idx="89">
                  <c:v>9649</c:v>
                </c:pt>
                <c:pt idx="90">
                  <c:v>9679</c:v>
                </c:pt>
                <c:pt idx="91">
                  <c:v>9710</c:v>
                </c:pt>
                <c:pt idx="92">
                  <c:v>9741</c:v>
                </c:pt>
                <c:pt idx="93">
                  <c:v>9771</c:v>
                </c:pt>
                <c:pt idx="94">
                  <c:v>9802</c:v>
                </c:pt>
                <c:pt idx="95">
                  <c:v>9832</c:v>
                </c:pt>
                <c:pt idx="96">
                  <c:v>9863</c:v>
                </c:pt>
                <c:pt idx="97">
                  <c:v>9894</c:v>
                </c:pt>
                <c:pt idx="98">
                  <c:v>9922</c:v>
                </c:pt>
                <c:pt idx="99">
                  <c:v>9953</c:v>
                </c:pt>
                <c:pt idx="100">
                  <c:v>9983</c:v>
                </c:pt>
                <c:pt idx="101">
                  <c:v>10014</c:v>
                </c:pt>
                <c:pt idx="102">
                  <c:v>10044</c:v>
                </c:pt>
                <c:pt idx="103">
                  <c:v>10075</c:v>
                </c:pt>
                <c:pt idx="104">
                  <c:v>10106</c:v>
                </c:pt>
                <c:pt idx="105">
                  <c:v>10136</c:v>
                </c:pt>
                <c:pt idx="106">
                  <c:v>10167</c:v>
                </c:pt>
                <c:pt idx="107">
                  <c:v>10197</c:v>
                </c:pt>
                <c:pt idx="108">
                  <c:v>10228</c:v>
                </c:pt>
                <c:pt idx="109">
                  <c:v>10259</c:v>
                </c:pt>
                <c:pt idx="110">
                  <c:v>10288</c:v>
                </c:pt>
                <c:pt idx="111">
                  <c:v>10319</c:v>
                </c:pt>
                <c:pt idx="112">
                  <c:v>10349</c:v>
                </c:pt>
                <c:pt idx="113">
                  <c:v>10380</c:v>
                </c:pt>
                <c:pt idx="114">
                  <c:v>10410</c:v>
                </c:pt>
                <c:pt idx="115">
                  <c:v>10441</c:v>
                </c:pt>
                <c:pt idx="116">
                  <c:v>10472</c:v>
                </c:pt>
                <c:pt idx="117">
                  <c:v>10502</c:v>
                </c:pt>
                <c:pt idx="118">
                  <c:v>10533</c:v>
                </c:pt>
                <c:pt idx="119">
                  <c:v>10563</c:v>
                </c:pt>
                <c:pt idx="120">
                  <c:v>10594</c:v>
                </c:pt>
                <c:pt idx="121">
                  <c:v>10625</c:v>
                </c:pt>
                <c:pt idx="122">
                  <c:v>10653</c:v>
                </c:pt>
                <c:pt idx="123">
                  <c:v>10684</c:v>
                </c:pt>
                <c:pt idx="124">
                  <c:v>10714</c:v>
                </c:pt>
                <c:pt idx="125">
                  <c:v>10745</c:v>
                </c:pt>
                <c:pt idx="126">
                  <c:v>10775</c:v>
                </c:pt>
                <c:pt idx="127">
                  <c:v>10806</c:v>
                </c:pt>
                <c:pt idx="128">
                  <c:v>10837</c:v>
                </c:pt>
                <c:pt idx="129">
                  <c:v>10867</c:v>
                </c:pt>
                <c:pt idx="130">
                  <c:v>10898</c:v>
                </c:pt>
                <c:pt idx="131">
                  <c:v>10928</c:v>
                </c:pt>
              </c:numCache>
            </c:numRef>
          </c:cat>
          <c:val>
            <c:numRef>
              <c:f>'Vintages Starting 2005-08-01'!$B$19:$B$150</c:f>
              <c:numCache>
                <c:formatCode>0.00</c:formatCode>
                <c:ptCount val="132"/>
                <c:pt idx="0">
                  <c:v>4.25</c:v>
                </c:pt>
                <c:pt idx="1">
                  <c:v>4.28</c:v>
                </c:pt>
                <c:pt idx="2">
                  <c:v>4.28</c:v>
                </c:pt>
                <c:pt idx="3">
                  <c:v>4.28</c:v>
                </c:pt>
                <c:pt idx="4">
                  <c:v>4.28</c:v>
                </c:pt>
                <c:pt idx="5">
                  <c:v>4.28</c:v>
                </c:pt>
                <c:pt idx="6">
                  <c:v>4.3099999999999996</c:v>
                </c:pt>
                <c:pt idx="7">
                  <c:v>4.34</c:v>
                </c:pt>
                <c:pt idx="8">
                  <c:v>4.25</c:v>
                </c:pt>
                <c:pt idx="9">
                  <c:v>4.34</c:v>
                </c:pt>
                <c:pt idx="10">
                  <c:v>4.4400000000000004</c:v>
                </c:pt>
                <c:pt idx="11">
                  <c:v>5.13</c:v>
                </c:pt>
                <c:pt idx="12">
                  <c:v>5.25</c:v>
                </c:pt>
                <c:pt idx="13">
                  <c:v>5.63</c:v>
                </c:pt>
                <c:pt idx="14">
                  <c:v>6</c:v>
                </c:pt>
                <c:pt idx="15">
                  <c:v>6</c:v>
                </c:pt>
                <c:pt idx="16">
                  <c:v>6.19</c:v>
                </c:pt>
                <c:pt idx="17">
                  <c:v>6.38</c:v>
                </c:pt>
                <c:pt idx="18">
                  <c:v>6.25</c:v>
                </c:pt>
                <c:pt idx="19">
                  <c:v>6.13</c:v>
                </c:pt>
                <c:pt idx="20">
                  <c:v>6.13</c:v>
                </c:pt>
                <c:pt idx="21">
                  <c:v>6.25</c:v>
                </c:pt>
                <c:pt idx="22">
                  <c:v>6.25</c:v>
                </c:pt>
                <c:pt idx="23">
                  <c:v>6.25</c:v>
                </c:pt>
                <c:pt idx="24">
                  <c:v>6.06</c:v>
                </c:pt>
                <c:pt idx="25">
                  <c:v>6</c:v>
                </c:pt>
                <c:pt idx="26">
                  <c:v>6</c:v>
                </c:pt>
                <c:pt idx="27">
                  <c:v>5.75</c:v>
                </c:pt>
                <c:pt idx="28">
                  <c:v>5.75</c:v>
                </c:pt>
                <c:pt idx="29">
                  <c:v>5.69</c:v>
                </c:pt>
                <c:pt idx="30">
                  <c:v>5.25</c:v>
                </c:pt>
                <c:pt idx="31">
                  <c:v>5</c:v>
                </c:pt>
                <c:pt idx="32">
                  <c:v>4.88</c:v>
                </c:pt>
                <c:pt idx="33">
                  <c:v>4.5</c:v>
                </c:pt>
                <c:pt idx="34">
                  <c:v>4.3099999999999996</c:v>
                </c:pt>
                <c:pt idx="35">
                  <c:v>4.13</c:v>
                </c:pt>
                <c:pt idx="36">
                  <c:v>3.94</c:v>
                </c:pt>
                <c:pt idx="37">
                  <c:v>4</c:v>
                </c:pt>
                <c:pt idx="38">
                  <c:v>3.75</c:v>
                </c:pt>
                <c:pt idx="39">
                  <c:v>3.31</c:v>
                </c:pt>
                <c:pt idx="40">
                  <c:v>3.13</c:v>
                </c:pt>
                <c:pt idx="41">
                  <c:v>3.06</c:v>
                </c:pt>
                <c:pt idx="42">
                  <c:v>3</c:v>
                </c:pt>
                <c:pt idx="43">
                  <c:v>3</c:v>
                </c:pt>
                <c:pt idx="44">
                  <c:v>3.13</c:v>
                </c:pt>
                <c:pt idx="45">
                  <c:v>3.75</c:v>
                </c:pt>
                <c:pt idx="46">
                  <c:v>4</c:v>
                </c:pt>
                <c:pt idx="47">
                  <c:v>4</c:v>
                </c:pt>
                <c:pt idx="48">
                  <c:v>4</c:v>
                </c:pt>
                <c:pt idx="49">
                  <c:v>3.94</c:v>
                </c:pt>
                <c:pt idx="50">
                  <c:v>4</c:v>
                </c:pt>
                <c:pt idx="51">
                  <c:v>4.13</c:v>
                </c:pt>
                <c:pt idx="52">
                  <c:v>4.13</c:v>
                </c:pt>
                <c:pt idx="53">
                  <c:v>4.13</c:v>
                </c:pt>
                <c:pt idx="54">
                  <c:v>4.13</c:v>
                </c:pt>
                <c:pt idx="55">
                  <c:v>4.13</c:v>
                </c:pt>
                <c:pt idx="56">
                  <c:v>4.13</c:v>
                </c:pt>
                <c:pt idx="57">
                  <c:v>4.13</c:v>
                </c:pt>
                <c:pt idx="58">
                  <c:v>4.13</c:v>
                </c:pt>
                <c:pt idx="59">
                  <c:v>4.13</c:v>
                </c:pt>
                <c:pt idx="60">
                  <c:v>4.0599999999999996</c:v>
                </c:pt>
                <c:pt idx="61">
                  <c:v>4.0599999999999996</c:v>
                </c:pt>
                <c:pt idx="62">
                  <c:v>4</c:v>
                </c:pt>
                <c:pt idx="63">
                  <c:v>4</c:v>
                </c:pt>
                <c:pt idx="64">
                  <c:v>3.25</c:v>
                </c:pt>
                <c:pt idx="65">
                  <c:v>2.5</c:v>
                </c:pt>
                <c:pt idx="66">
                  <c:v>2</c:v>
                </c:pt>
                <c:pt idx="67">
                  <c:v>2.13</c:v>
                </c:pt>
                <c:pt idx="68">
                  <c:v>2.19</c:v>
                </c:pt>
                <c:pt idx="69">
                  <c:v>2.19</c:v>
                </c:pt>
                <c:pt idx="70">
                  <c:v>2.38</c:v>
                </c:pt>
                <c:pt idx="71">
                  <c:v>2.94</c:v>
                </c:pt>
                <c:pt idx="72">
                  <c:v>3</c:v>
                </c:pt>
                <c:pt idx="73">
                  <c:v>3.06</c:v>
                </c:pt>
                <c:pt idx="74">
                  <c:v>3.25</c:v>
                </c:pt>
                <c:pt idx="75">
                  <c:v>3.19</c:v>
                </c:pt>
                <c:pt idx="76">
                  <c:v>3.19</c:v>
                </c:pt>
                <c:pt idx="77">
                  <c:v>3.25</c:v>
                </c:pt>
                <c:pt idx="78">
                  <c:v>3.25</c:v>
                </c:pt>
                <c:pt idx="79">
                  <c:v>3.25</c:v>
                </c:pt>
                <c:pt idx="80">
                  <c:v>3.5</c:v>
                </c:pt>
                <c:pt idx="81">
                  <c:v>3.5</c:v>
                </c:pt>
                <c:pt idx="82">
                  <c:v>3.5</c:v>
                </c:pt>
                <c:pt idx="83">
                  <c:v>3.5</c:v>
                </c:pt>
                <c:pt idx="84">
                  <c:v>3.63</c:v>
                </c:pt>
                <c:pt idx="85">
                  <c:v>3.63</c:v>
                </c:pt>
                <c:pt idx="86">
                  <c:v>3.63</c:v>
                </c:pt>
                <c:pt idx="87">
                  <c:v>3.38</c:v>
                </c:pt>
                <c:pt idx="88">
                  <c:v>3.19</c:v>
                </c:pt>
                <c:pt idx="89">
                  <c:v>3.25</c:v>
                </c:pt>
                <c:pt idx="90">
                  <c:v>3.38</c:v>
                </c:pt>
                <c:pt idx="91">
                  <c:v>3.56</c:v>
                </c:pt>
                <c:pt idx="92">
                  <c:v>3.88</c:v>
                </c:pt>
                <c:pt idx="93">
                  <c:v>3.88</c:v>
                </c:pt>
                <c:pt idx="94">
                  <c:v>3.81</c:v>
                </c:pt>
                <c:pt idx="95">
                  <c:v>3.81</c:v>
                </c:pt>
                <c:pt idx="96">
                  <c:v>3.69</c:v>
                </c:pt>
                <c:pt idx="97">
                  <c:v>3.69</c:v>
                </c:pt>
                <c:pt idx="98">
                  <c:v>3.63</c:v>
                </c:pt>
                <c:pt idx="99">
                  <c:v>3.63</c:v>
                </c:pt>
                <c:pt idx="100">
                  <c:v>3.63</c:v>
                </c:pt>
                <c:pt idx="101">
                  <c:v>3.63</c:v>
                </c:pt>
                <c:pt idx="102">
                  <c:v>3.56</c:v>
                </c:pt>
                <c:pt idx="103">
                  <c:v>3.13</c:v>
                </c:pt>
                <c:pt idx="104">
                  <c:v>3.13</c:v>
                </c:pt>
                <c:pt idx="105">
                  <c:v>3.19</c:v>
                </c:pt>
                <c:pt idx="106">
                  <c:v>3.25</c:v>
                </c:pt>
                <c:pt idx="107">
                  <c:v>3.25</c:v>
                </c:pt>
                <c:pt idx="108">
                  <c:v>3.38</c:v>
                </c:pt>
                <c:pt idx="109">
                  <c:v>3.5</c:v>
                </c:pt>
                <c:pt idx="110">
                  <c:v>3.5</c:v>
                </c:pt>
                <c:pt idx="111">
                  <c:v>3.75</c:v>
                </c:pt>
                <c:pt idx="112">
                  <c:v>4</c:v>
                </c:pt>
                <c:pt idx="113">
                  <c:v>4.0599999999999996</c:v>
                </c:pt>
                <c:pt idx="114">
                  <c:v>4.25</c:v>
                </c:pt>
                <c:pt idx="115">
                  <c:v>4.63</c:v>
                </c:pt>
                <c:pt idx="116">
                  <c:v>4.5</c:v>
                </c:pt>
                <c:pt idx="117">
                  <c:v>4.5</c:v>
                </c:pt>
                <c:pt idx="118">
                  <c:v>4.5</c:v>
                </c:pt>
                <c:pt idx="119">
                  <c:v>4.5</c:v>
                </c:pt>
                <c:pt idx="120">
                  <c:v>4.75</c:v>
                </c:pt>
                <c:pt idx="121">
                  <c:v>5.13</c:v>
                </c:pt>
                <c:pt idx="122">
                  <c:v>5.38</c:v>
                </c:pt>
                <c:pt idx="123">
                  <c:v>5.5</c:v>
                </c:pt>
                <c:pt idx="124">
                  <c:v>5.5</c:v>
                </c:pt>
                <c:pt idx="125">
                  <c:v>5.5</c:v>
                </c:pt>
                <c:pt idx="126">
                  <c:v>5.13</c:v>
                </c:pt>
                <c:pt idx="127">
                  <c:v>5.13</c:v>
                </c:pt>
                <c:pt idx="128">
                  <c:v>5.13</c:v>
                </c:pt>
                <c:pt idx="129">
                  <c:v>5.13</c:v>
                </c:pt>
                <c:pt idx="130">
                  <c:v>4.1900000000000004</c:v>
                </c:pt>
                <c:pt idx="131">
                  <c:v>3.88</c:v>
                </c:pt>
              </c:numCache>
            </c:numRef>
          </c:val>
          <c:smooth val="0"/>
          <c:extLst>
            <c:ext xmlns:c16="http://schemas.microsoft.com/office/drawing/2014/chart" uri="{C3380CC4-5D6E-409C-BE32-E72D297353CC}">
              <c16:uniqueId val="{00000000-4501-4D2E-A9E8-FE1A85EDF951}"/>
            </c:ext>
          </c:extLst>
        </c:ser>
        <c:ser>
          <c:idx val="1"/>
          <c:order val="1"/>
          <c:tx>
            <c:v>Call Money Rate</c:v>
          </c:tx>
          <c:spPr>
            <a:ln w="28575" cap="rnd">
              <a:solidFill>
                <a:schemeClr val="accent2"/>
              </a:solidFill>
              <a:round/>
            </a:ln>
            <a:effectLst/>
          </c:spPr>
          <c:marker>
            <c:symbol val="none"/>
          </c:marker>
          <c:cat>
            <c:numRef>
              <c:f>'Vintages Starting 2005-08-01'!$A$19:$A$150</c:f>
              <c:numCache>
                <c:formatCode>yyyy\-mm\-dd</c:formatCode>
                <c:ptCount val="132"/>
                <c:pt idx="0">
                  <c:v>6941</c:v>
                </c:pt>
                <c:pt idx="1">
                  <c:v>6972</c:v>
                </c:pt>
                <c:pt idx="2">
                  <c:v>7000</c:v>
                </c:pt>
                <c:pt idx="3">
                  <c:v>7031</c:v>
                </c:pt>
                <c:pt idx="4">
                  <c:v>7061</c:v>
                </c:pt>
                <c:pt idx="5">
                  <c:v>7092</c:v>
                </c:pt>
                <c:pt idx="6">
                  <c:v>7122</c:v>
                </c:pt>
                <c:pt idx="7">
                  <c:v>7153</c:v>
                </c:pt>
                <c:pt idx="8">
                  <c:v>7184</c:v>
                </c:pt>
                <c:pt idx="9">
                  <c:v>7214</c:v>
                </c:pt>
                <c:pt idx="10">
                  <c:v>7245</c:v>
                </c:pt>
                <c:pt idx="11">
                  <c:v>7275</c:v>
                </c:pt>
                <c:pt idx="12">
                  <c:v>7306</c:v>
                </c:pt>
                <c:pt idx="13">
                  <c:v>7337</c:v>
                </c:pt>
                <c:pt idx="14">
                  <c:v>7366</c:v>
                </c:pt>
                <c:pt idx="15">
                  <c:v>7397</c:v>
                </c:pt>
                <c:pt idx="16">
                  <c:v>7427</c:v>
                </c:pt>
                <c:pt idx="17">
                  <c:v>7458</c:v>
                </c:pt>
                <c:pt idx="18">
                  <c:v>7488</c:v>
                </c:pt>
                <c:pt idx="19">
                  <c:v>7519</c:v>
                </c:pt>
                <c:pt idx="20">
                  <c:v>7550</c:v>
                </c:pt>
                <c:pt idx="21">
                  <c:v>7580</c:v>
                </c:pt>
                <c:pt idx="22">
                  <c:v>7611</c:v>
                </c:pt>
                <c:pt idx="23">
                  <c:v>7641</c:v>
                </c:pt>
                <c:pt idx="24">
                  <c:v>7672</c:v>
                </c:pt>
                <c:pt idx="25">
                  <c:v>7703</c:v>
                </c:pt>
                <c:pt idx="26">
                  <c:v>7731</c:v>
                </c:pt>
                <c:pt idx="27">
                  <c:v>7762</c:v>
                </c:pt>
                <c:pt idx="28">
                  <c:v>7792</c:v>
                </c:pt>
                <c:pt idx="29">
                  <c:v>7823</c:v>
                </c:pt>
                <c:pt idx="30">
                  <c:v>7853</c:v>
                </c:pt>
                <c:pt idx="31">
                  <c:v>7884</c:v>
                </c:pt>
                <c:pt idx="32">
                  <c:v>7915</c:v>
                </c:pt>
                <c:pt idx="33">
                  <c:v>7945</c:v>
                </c:pt>
                <c:pt idx="34">
                  <c:v>7976</c:v>
                </c:pt>
                <c:pt idx="35">
                  <c:v>8006</c:v>
                </c:pt>
                <c:pt idx="36">
                  <c:v>8037</c:v>
                </c:pt>
                <c:pt idx="37">
                  <c:v>8068</c:v>
                </c:pt>
                <c:pt idx="38">
                  <c:v>8096</c:v>
                </c:pt>
                <c:pt idx="39">
                  <c:v>8127</c:v>
                </c:pt>
                <c:pt idx="40">
                  <c:v>8157</c:v>
                </c:pt>
                <c:pt idx="41">
                  <c:v>8188</c:v>
                </c:pt>
                <c:pt idx="42">
                  <c:v>8218</c:v>
                </c:pt>
                <c:pt idx="43">
                  <c:v>8249</c:v>
                </c:pt>
                <c:pt idx="44">
                  <c:v>8280</c:v>
                </c:pt>
                <c:pt idx="45">
                  <c:v>8310</c:v>
                </c:pt>
                <c:pt idx="46">
                  <c:v>8341</c:v>
                </c:pt>
                <c:pt idx="47">
                  <c:v>8371</c:v>
                </c:pt>
                <c:pt idx="48">
                  <c:v>8402</c:v>
                </c:pt>
                <c:pt idx="49">
                  <c:v>8433</c:v>
                </c:pt>
                <c:pt idx="50">
                  <c:v>8461</c:v>
                </c:pt>
                <c:pt idx="51">
                  <c:v>8492</c:v>
                </c:pt>
                <c:pt idx="52">
                  <c:v>8522</c:v>
                </c:pt>
                <c:pt idx="53">
                  <c:v>8553</c:v>
                </c:pt>
                <c:pt idx="54">
                  <c:v>8583</c:v>
                </c:pt>
                <c:pt idx="55">
                  <c:v>8614</c:v>
                </c:pt>
                <c:pt idx="56">
                  <c:v>8645</c:v>
                </c:pt>
                <c:pt idx="57">
                  <c:v>8675</c:v>
                </c:pt>
                <c:pt idx="58">
                  <c:v>8706</c:v>
                </c:pt>
                <c:pt idx="59">
                  <c:v>8736</c:v>
                </c:pt>
                <c:pt idx="60">
                  <c:v>8767</c:v>
                </c:pt>
                <c:pt idx="61">
                  <c:v>8798</c:v>
                </c:pt>
                <c:pt idx="62">
                  <c:v>8827</c:v>
                </c:pt>
                <c:pt idx="63">
                  <c:v>8858</c:v>
                </c:pt>
                <c:pt idx="64">
                  <c:v>8888</c:v>
                </c:pt>
                <c:pt idx="65">
                  <c:v>8919</c:v>
                </c:pt>
                <c:pt idx="66">
                  <c:v>8949</c:v>
                </c:pt>
                <c:pt idx="67">
                  <c:v>8980</c:v>
                </c:pt>
                <c:pt idx="68">
                  <c:v>9011</c:v>
                </c:pt>
                <c:pt idx="69">
                  <c:v>9041</c:v>
                </c:pt>
                <c:pt idx="70">
                  <c:v>9072</c:v>
                </c:pt>
                <c:pt idx="71">
                  <c:v>9102</c:v>
                </c:pt>
                <c:pt idx="72">
                  <c:v>9133</c:v>
                </c:pt>
                <c:pt idx="73">
                  <c:v>9164</c:v>
                </c:pt>
                <c:pt idx="74">
                  <c:v>9192</c:v>
                </c:pt>
                <c:pt idx="75">
                  <c:v>9223</c:v>
                </c:pt>
                <c:pt idx="76">
                  <c:v>9253</c:v>
                </c:pt>
                <c:pt idx="77">
                  <c:v>9284</c:v>
                </c:pt>
                <c:pt idx="78">
                  <c:v>9314</c:v>
                </c:pt>
                <c:pt idx="79">
                  <c:v>9345</c:v>
                </c:pt>
                <c:pt idx="80">
                  <c:v>9376</c:v>
                </c:pt>
                <c:pt idx="81">
                  <c:v>9406</c:v>
                </c:pt>
                <c:pt idx="82">
                  <c:v>9437</c:v>
                </c:pt>
                <c:pt idx="83">
                  <c:v>9467</c:v>
                </c:pt>
                <c:pt idx="84">
                  <c:v>9498</c:v>
                </c:pt>
                <c:pt idx="85">
                  <c:v>9529</c:v>
                </c:pt>
                <c:pt idx="86">
                  <c:v>9557</c:v>
                </c:pt>
                <c:pt idx="87">
                  <c:v>9588</c:v>
                </c:pt>
                <c:pt idx="88">
                  <c:v>9618</c:v>
                </c:pt>
                <c:pt idx="89">
                  <c:v>9649</c:v>
                </c:pt>
                <c:pt idx="90">
                  <c:v>9679</c:v>
                </c:pt>
                <c:pt idx="91">
                  <c:v>9710</c:v>
                </c:pt>
                <c:pt idx="92">
                  <c:v>9741</c:v>
                </c:pt>
                <c:pt idx="93">
                  <c:v>9771</c:v>
                </c:pt>
                <c:pt idx="94">
                  <c:v>9802</c:v>
                </c:pt>
                <c:pt idx="95">
                  <c:v>9832</c:v>
                </c:pt>
                <c:pt idx="96">
                  <c:v>9863</c:v>
                </c:pt>
                <c:pt idx="97">
                  <c:v>9894</c:v>
                </c:pt>
                <c:pt idx="98">
                  <c:v>9922</c:v>
                </c:pt>
                <c:pt idx="99">
                  <c:v>9953</c:v>
                </c:pt>
                <c:pt idx="100">
                  <c:v>9983</c:v>
                </c:pt>
                <c:pt idx="101">
                  <c:v>10014</c:v>
                </c:pt>
                <c:pt idx="102">
                  <c:v>10044</c:v>
                </c:pt>
                <c:pt idx="103">
                  <c:v>10075</c:v>
                </c:pt>
                <c:pt idx="104">
                  <c:v>10106</c:v>
                </c:pt>
                <c:pt idx="105">
                  <c:v>10136</c:v>
                </c:pt>
                <c:pt idx="106">
                  <c:v>10167</c:v>
                </c:pt>
                <c:pt idx="107">
                  <c:v>10197</c:v>
                </c:pt>
                <c:pt idx="108">
                  <c:v>10228</c:v>
                </c:pt>
                <c:pt idx="109">
                  <c:v>10259</c:v>
                </c:pt>
                <c:pt idx="110">
                  <c:v>10288</c:v>
                </c:pt>
                <c:pt idx="111">
                  <c:v>10319</c:v>
                </c:pt>
                <c:pt idx="112">
                  <c:v>10349</c:v>
                </c:pt>
                <c:pt idx="113">
                  <c:v>10380</c:v>
                </c:pt>
                <c:pt idx="114">
                  <c:v>10410</c:v>
                </c:pt>
                <c:pt idx="115">
                  <c:v>10441</c:v>
                </c:pt>
                <c:pt idx="116">
                  <c:v>10472</c:v>
                </c:pt>
                <c:pt idx="117">
                  <c:v>10502</c:v>
                </c:pt>
                <c:pt idx="118">
                  <c:v>10533</c:v>
                </c:pt>
                <c:pt idx="119">
                  <c:v>10563</c:v>
                </c:pt>
                <c:pt idx="120">
                  <c:v>10594</c:v>
                </c:pt>
                <c:pt idx="121">
                  <c:v>10625</c:v>
                </c:pt>
                <c:pt idx="122">
                  <c:v>10653</c:v>
                </c:pt>
                <c:pt idx="123">
                  <c:v>10684</c:v>
                </c:pt>
                <c:pt idx="124">
                  <c:v>10714</c:v>
                </c:pt>
                <c:pt idx="125">
                  <c:v>10745</c:v>
                </c:pt>
                <c:pt idx="126">
                  <c:v>10775</c:v>
                </c:pt>
                <c:pt idx="127">
                  <c:v>10806</c:v>
                </c:pt>
                <c:pt idx="128">
                  <c:v>10837</c:v>
                </c:pt>
                <c:pt idx="129">
                  <c:v>10867</c:v>
                </c:pt>
                <c:pt idx="130">
                  <c:v>10898</c:v>
                </c:pt>
                <c:pt idx="131">
                  <c:v>10928</c:v>
                </c:pt>
              </c:numCache>
            </c:numRef>
          </c:cat>
          <c:val>
            <c:numRef>
              <c:f>'Vintages Starting 2005-08-01'!$C$19:$C$150</c:f>
              <c:numCache>
                <c:formatCode>0.00</c:formatCode>
                <c:ptCount val="132"/>
                <c:pt idx="0">
                  <c:v>5.28</c:v>
                </c:pt>
                <c:pt idx="1">
                  <c:v>5.3</c:v>
                </c:pt>
                <c:pt idx="2">
                  <c:v>5.36</c:v>
                </c:pt>
                <c:pt idx="3">
                  <c:v>5.48</c:v>
                </c:pt>
                <c:pt idx="4">
                  <c:v>5.67</c:v>
                </c:pt>
                <c:pt idx="5">
                  <c:v>5.93</c:v>
                </c:pt>
                <c:pt idx="6">
                  <c:v>6.25</c:v>
                </c:pt>
                <c:pt idx="7">
                  <c:v>6.61</c:v>
                </c:pt>
                <c:pt idx="8">
                  <c:v>7</c:v>
                </c:pt>
                <c:pt idx="9">
                  <c:v>7.39</c:v>
                </c:pt>
                <c:pt idx="10">
                  <c:v>7.75</c:v>
                </c:pt>
                <c:pt idx="11">
                  <c:v>8.0399999999999991</c:v>
                </c:pt>
                <c:pt idx="12">
                  <c:v>8.25</c:v>
                </c:pt>
                <c:pt idx="13">
                  <c:v>8.3699999999999992</c:v>
                </c:pt>
                <c:pt idx="14">
                  <c:v>8.39</c:v>
                </c:pt>
                <c:pt idx="15">
                  <c:v>8.33</c:v>
                </c:pt>
                <c:pt idx="16">
                  <c:v>8.1999999999999993</c:v>
                </c:pt>
                <c:pt idx="17">
                  <c:v>8.0399999999999991</c:v>
                </c:pt>
                <c:pt idx="18">
                  <c:v>7.85</c:v>
                </c:pt>
                <c:pt idx="19">
                  <c:v>7.67</c:v>
                </c:pt>
                <c:pt idx="20">
                  <c:v>7.51</c:v>
                </c:pt>
                <c:pt idx="21">
                  <c:v>7.36</c:v>
                </c:pt>
                <c:pt idx="22">
                  <c:v>7.23</c:v>
                </c:pt>
                <c:pt idx="23">
                  <c:v>7.11</c:v>
                </c:pt>
                <c:pt idx="24">
                  <c:v>6.99</c:v>
                </c:pt>
                <c:pt idx="25">
                  <c:v>6.86</c:v>
                </c:pt>
                <c:pt idx="26">
                  <c:v>6.72</c:v>
                </c:pt>
                <c:pt idx="27">
                  <c:v>6.56</c:v>
                </c:pt>
                <c:pt idx="28">
                  <c:v>6.37</c:v>
                </c:pt>
                <c:pt idx="29">
                  <c:v>6.16</c:v>
                </c:pt>
                <c:pt idx="30">
                  <c:v>5.93</c:v>
                </c:pt>
                <c:pt idx="31">
                  <c:v>5.69</c:v>
                </c:pt>
                <c:pt idx="32">
                  <c:v>5.43</c:v>
                </c:pt>
                <c:pt idx="33">
                  <c:v>5.18</c:v>
                </c:pt>
                <c:pt idx="34">
                  <c:v>4.9400000000000004</c:v>
                </c:pt>
                <c:pt idx="35">
                  <c:v>4.72</c:v>
                </c:pt>
                <c:pt idx="36">
                  <c:v>4.53</c:v>
                </c:pt>
                <c:pt idx="37">
                  <c:v>4.37</c:v>
                </c:pt>
                <c:pt idx="38">
                  <c:v>4.24</c:v>
                </c:pt>
                <c:pt idx="39">
                  <c:v>4.1500000000000004</c:v>
                </c:pt>
                <c:pt idx="40">
                  <c:v>4.09</c:v>
                </c:pt>
                <c:pt idx="41">
                  <c:v>4.07</c:v>
                </c:pt>
                <c:pt idx="42">
                  <c:v>4.08</c:v>
                </c:pt>
                <c:pt idx="43">
                  <c:v>4.12</c:v>
                </c:pt>
                <c:pt idx="44">
                  <c:v>4.18</c:v>
                </c:pt>
                <c:pt idx="45">
                  <c:v>4.2699999999999996</c:v>
                </c:pt>
                <c:pt idx="46">
                  <c:v>4.38</c:v>
                </c:pt>
                <c:pt idx="47">
                  <c:v>4.49</c:v>
                </c:pt>
                <c:pt idx="48">
                  <c:v>4.6100000000000003</c:v>
                </c:pt>
                <c:pt idx="49">
                  <c:v>4.74</c:v>
                </c:pt>
                <c:pt idx="50">
                  <c:v>4.8499999999999996</c:v>
                </c:pt>
                <c:pt idx="51">
                  <c:v>4.96</c:v>
                </c:pt>
                <c:pt idx="52">
                  <c:v>5.0599999999999996</c:v>
                </c:pt>
                <c:pt idx="53">
                  <c:v>5.15</c:v>
                </c:pt>
                <c:pt idx="54">
                  <c:v>5.2</c:v>
                </c:pt>
                <c:pt idx="55">
                  <c:v>5.21</c:v>
                </c:pt>
                <c:pt idx="56">
                  <c:v>5.16</c:v>
                </c:pt>
                <c:pt idx="57">
                  <c:v>5.03</c:v>
                </c:pt>
                <c:pt idx="58">
                  <c:v>4.83</c:v>
                </c:pt>
                <c:pt idx="59">
                  <c:v>4.55</c:v>
                </c:pt>
                <c:pt idx="60">
                  <c:v>4.22</c:v>
                </c:pt>
                <c:pt idx="61">
                  <c:v>3.87</c:v>
                </c:pt>
                <c:pt idx="62">
                  <c:v>3.53</c:v>
                </c:pt>
                <c:pt idx="63">
                  <c:v>3.22</c:v>
                </c:pt>
                <c:pt idx="64">
                  <c:v>2.96</c:v>
                </c:pt>
                <c:pt idx="65">
                  <c:v>2.76</c:v>
                </c:pt>
                <c:pt idx="66">
                  <c:v>2.62</c:v>
                </c:pt>
                <c:pt idx="67">
                  <c:v>2.5299999999999998</c:v>
                </c:pt>
                <c:pt idx="68">
                  <c:v>2.5</c:v>
                </c:pt>
                <c:pt idx="69">
                  <c:v>2.52</c:v>
                </c:pt>
                <c:pt idx="70">
                  <c:v>2.6</c:v>
                </c:pt>
                <c:pt idx="71">
                  <c:v>2.74</c:v>
                </c:pt>
                <c:pt idx="72">
                  <c:v>2.93</c:v>
                </c:pt>
                <c:pt idx="73">
                  <c:v>3.17</c:v>
                </c:pt>
                <c:pt idx="74">
                  <c:v>3.45</c:v>
                </c:pt>
                <c:pt idx="75">
                  <c:v>3.74</c:v>
                </c:pt>
                <c:pt idx="76">
                  <c:v>4.03</c:v>
                </c:pt>
                <c:pt idx="77">
                  <c:v>4.2699999999999996</c:v>
                </c:pt>
                <c:pt idx="78">
                  <c:v>4.46</c:v>
                </c:pt>
                <c:pt idx="79">
                  <c:v>4.58</c:v>
                </c:pt>
                <c:pt idx="80">
                  <c:v>4.63</c:v>
                </c:pt>
                <c:pt idx="81">
                  <c:v>4.6399999999999997</c:v>
                </c:pt>
                <c:pt idx="82">
                  <c:v>4.6100000000000003</c:v>
                </c:pt>
                <c:pt idx="83">
                  <c:v>4.58</c:v>
                </c:pt>
                <c:pt idx="84">
                  <c:v>4.54</c:v>
                </c:pt>
                <c:pt idx="85">
                  <c:v>4.51</c:v>
                </c:pt>
                <c:pt idx="86">
                  <c:v>4.49</c:v>
                </c:pt>
                <c:pt idx="87">
                  <c:v>4.4800000000000004</c:v>
                </c:pt>
                <c:pt idx="88">
                  <c:v>4.47</c:v>
                </c:pt>
                <c:pt idx="89">
                  <c:v>4.47</c:v>
                </c:pt>
                <c:pt idx="90">
                  <c:v>4.47</c:v>
                </c:pt>
                <c:pt idx="91">
                  <c:v>4.4800000000000004</c:v>
                </c:pt>
                <c:pt idx="92">
                  <c:v>4.4800000000000004</c:v>
                </c:pt>
                <c:pt idx="93">
                  <c:v>4.49</c:v>
                </c:pt>
                <c:pt idx="94">
                  <c:v>4.5</c:v>
                </c:pt>
                <c:pt idx="95">
                  <c:v>4.49</c:v>
                </c:pt>
                <c:pt idx="96">
                  <c:v>4.46</c:v>
                </c:pt>
                <c:pt idx="97">
                  <c:v>4.4000000000000004</c:v>
                </c:pt>
                <c:pt idx="98">
                  <c:v>4.32</c:v>
                </c:pt>
                <c:pt idx="99">
                  <c:v>4.21</c:v>
                </c:pt>
                <c:pt idx="100">
                  <c:v>4.0999999999999996</c:v>
                </c:pt>
                <c:pt idx="101">
                  <c:v>4</c:v>
                </c:pt>
                <c:pt idx="102">
                  <c:v>3.92</c:v>
                </c:pt>
                <c:pt idx="103">
                  <c:v>3.87</c:v>
                </c:pt>
                <c:pt idx="104">
                  <c:v>3.86</c:v>
                </c:pt>
                <c:pt idx="105">
                  <c:v>3.89</c:v>
                </c:pt>
                <c:pt idx="106">
                  <c:v>3.98</c:v>
                </c:pt>
                <c:pt idx="107">
                  <c:v>4.1100000000000003</c:v>
                </c:pt>
                <c:pt idx="108">
                  <c:v>4.3</c:v>
                </c:pt>
                <c:pt idx="109">
                  <c:v>4.5199999999999996</c:v>
                </c:pt>
                <c:pt idx="110">
                  <c:v>4.78</c:v>
                </c:pt>
                <c:pt idx="111">
                  <c:v>5.07</c:v>
                </c:pt>
                <c:pt idx="112">
                  <c:v>5.38</c:v>
                </c:pt>
                <c:pt idx="113">
                  <c:v>5.72</c:v>
                </c:pt>
                <c:pt idx="114">
                  <c:v>6.07</c:v>
                </c:pt>
                <c:pt idx="115">
                  <c:v>6.43</c:v>
                </c:pt>
                <c:pt idx="116">
                  <c:v>6.8</c:v>
                </c:pt>
                <c:pt idx="117">
                  <c:v>7.17</c:v>
                </c:pt>
                <c:pt idx="118">
                  <c:v>7.53</c:v>
                </c:pt>
                <c:pt idx="119">
                  <c:v>7.86</c:v>
                </c:pt>
                <c:pt idx="120">
                  <c:v>8.15</c:v>
                </c:pt>
                <c:pt idx="121">
                  <c:v>8.3800000000000008</c:v>
                </c:pt>
                <c:pt idx="122">
                  <c:v>8.5299999999999994</c:v>
                </c:pt>
                <c:pt idx="123">
                  <c:v>8.6</c:v>
                </c:pt>
                <c:pt idx="124">
                  <c:v>8.5500000000000007</c:v>
                </c:pt>
                <c:pt idx="125">
                  <c:v>8.39</c:v>
                </c:pt>
                <c:pt idx="126">
                  <c:v>8.11</c:v>
                </c:pt>
                <c:pt idx="127">
                  <c:v>7.71</c:v>
                </c:pt>
                <c:pt idx="128">
                  <c:v>7.21</c:v>
                </c:pt>
                <c:pt idx="129">
                  <c:v>6.64</c:v>
                </c:pt>
                <c:pt idx="130">
                  <c:v>6.03</c:v>
                </c:pt>
                <c:pt idx="131">
                  <c:v>5.41</c:v>
                </c:pt>
              </c:numCache>
            </c:numRef>
          </c:val>
          <c:smooth val="0"/>
          <c:extLst>
            <c:ext xmlns:c16="http://schemas.microsoft.com/office/drawing/2014/chart" uri="{C3380CC4-5D6E-409C-BE32-E72D297353CC}">
              <c16:uniqueId val="{00000001-4501-4D2E-A9E8-FE1A85EDF951}"/>
            </c:ext>
          </c:extLst>
        </c:ser>
        <c:ser>
          <c:idx val="2"/>
          <c:order val="2"/>
          <c:tx>
            <c:v>Discount rate</c:v>
          </c:tx>
          <c:spPr>
            <a:ln w="28575" cap="rnd">
              <a:solidFill>
                <a:schemeClr val="accent3"/>
              </a:solidFill>
              <a:round/>
            </a:ln>
            <a:effectLst/>
          </c:spPr>
          <c:marker>
            <c:symbol val="none"/>
          </c:marker>
          <c:cat>
            <c:numRef>
              <c:f>'Vintages Starting 2005-08-01'!$A$19:$A$150</c:f>
              <c:numCache>
                <c:formatCode>yyyy\-mm\-dd</c:formatCode>
                <c:ptCount val="132"/>
                <c:pt idx="0">
                  <c:v>6941</c:v>
                </c:pt>
                <c:pt idx="1">
                  <c:v>6972</c:v>
                </c:pt>
                <c:pt idx="2">
                  <c:v>7000</c:v>
                </c:pt>
                <c:pt idx="3">
                  <c:v>7031</c:v>
                </c:pt>
                <c:pt idx="4">
                  <c:v>7061</c:v>
                </c:pt>
                <c:pt idx="5">
                  <c:v>7092</c:v>
                </c:pt>
                <c:pt idx="6">
                  <c:v>7122</c:v>
                </c:pt>
                <c:pt idx="7">
                  <c:v>7153</c:v>
                </c:pt>
                <c:pt idx="8">
                  <c:v>7184</c:v>
                </c:pt>
                <c:pt idx="9">
                  <c:v>7214</c:v>
                </c:pt>
                <c:pt idx="10">
                  <c:v>7245</c:v>
                </c:pt>
                <c:pt idx="11">
                  <c:v>7275</c:v>
                </c:pt>
                <c:pt idx="12">
                  <c:v>7306</c:v>
                </c:pt>
                <c:pt idx="13">
                  <c:v>7337</c:v>
                </c:pt>
                <c:pt idx="14">
                  <c:v>7366</c:v>
                </c:pt>
                <c:pt idx="15">
                  <c:v>7397</c:v>
                </c:pt>
                <c:pt idx="16">
                  <c:v>7427</c:v>
                </c:pt>
                <c:pt idx="17">
                  <c:v>7458</c:v>
                </c:pt>
                <c:pt idx="18">
                  <c:v>7488</c:v>
                </c:pt>
                <c:pt idx="19">
                  <c:v>7519</c:v>
                </c:pt>
                <c:pt idx="20">
                  <c:v>7550</c:v>
                </c:pt>
                <c:pt idx="21">
                  <c:v>7580</c:v>
                </c:pt>
                <c:pt idx="22">
                  <c:v>7611</c:v>
                </c:pt>
                <c:pt idx="23">
                  <c:v>7641</c:v>
                </c:pt>
                <c:pt idx="24">
                  <c:v>7672</c:v>
                </c:pt>
                <c:pt idx="25">
                  <c:v>7703</c:v>
                </c:pt>
                <c:pt idx="26">
                  <c:v>7731</c:v>
                </c:pt>
                <c:pt idx="27">
                  <c:v>7762</c:v>
                </c:pt>
                <c:pt idx="28">
                  <c:v>7792</c:v>
                </c:pt>
                <c:pt idx="29">
                  <c:v>7823</c:v>
                </c:pt>
                <c:pt idx="30">
                  <c:v>7853</c:v>
                </c:pt>
                <c:pt idx="31">
                  <c:v>7884</c:v>
                </c:pt>
                <c:pt idx="32">
                  <c:v>7915</c:v>
                </c:pt>
                <c:pt idx="33">
                  <c:v>7945</c:v>
                </c:pt>
                <c:pt idx="34">
                  <c:v>7976</c:v>
                </c:pt>
                <c:pt idx="35">
                  <c:v>8006</c:v>
                </c:pt>
                <c:pt idx="36">
                  <c:v>8037</c:v>
                </c:pt>
                <c:pt idx="37">
                  <c:v>8068</c:v>
                </c:pt>
                <c:pt idx="38">
                  <c:v>8096</c:v>
                </c:pt>
                <c:pt idx="39">
                  <c:v>8127</c:v>
                </c:pt>
                <c:pt idx="40">
                  <c:v>8157</c:v>
                </c:pt>
                <c:pt idx="41">
                  <c:v>8188</c:v>
                </c:pt>
                <c:pt idx="42">
                  <c:v>8218</c:v>
                </c:pt>
                <c:pt idx="43">
                  <c:v>8249</c:v>
                </c:pt>
                <c:pt idx="44">
                  <c:v>8280</c:v>
                </c:pt>
                <c:pt idx="45">
                  <c:v>8310</c:v>
                </c:pt>
                <c:pt idx="46">
                  <c:v>8341</c:v>
                </c:pt>
                <c:pt idx="47">
                  <c:v>8371</c:v>
                </c:pt>
                <c:pt idx="48">
                  <c:v>8402</c:v>
                </c:pt>
                <c:pt idx="49">
                  <c:v>8433</c:v>
                </c:pt>
                <c:pt idx="50">
                  <c:v>8461</c:v>
                </c:pt>
                <c:pt idx="51">
                  <c:v>8492</c:v>
                </c:pt>
                <c:pt idx="52">
                  <c:v>8522</c:v>
                </c:pt>
                <c:pt idx="53">
                  <c:v>8553</c:v>
                </c:pt>
                <c:pt idx="54">
                  <c:v>8583</c:v>
                </c:pt>
                <c:pt idx="55">
                  <c:v>8614</c:v>
                </c:pt>
                <c:pt idx="56">
                  <c:v>8645</c:v>
                </c:pt>
                <c:pt idx="57">
                  <c:v>8675</c:v>
                </c:pt>
                <c:pt idx="58">
                  <c:v>8706</c:v>
                </c:pt>
                <c:pt idx="59">
                  <c:v>8736</c:v>
                </c:pt>
                <c:pt idx="60">
                  <c:v>8767</c:v>
                </c:pt>
                <c:pt idx="61">
                  <c:v>8798</c:v>
                </c:pt>
                <c:pt idx="62">
                  <c:v>8827</c:v>
                </c:pt>
                <c:pt idx="63">
                  <c:v>8858</c:v>
                </c:pt>
                <c:pt idx="64">
                  <c:v>8888</c:v>
                </c:pt>
                <c:pt idx="65">
                  <c:v>8919</c:v>
                </c:pt>
                <c:pt idx="66">
                  <c:v>8949</c:v>
                </c:pt>
                <c:pt idx="67">
                  <c:v>8980</c:v>
                </c:pt>
                <c:pt idx="68">
                  <c:v>9011</c:v>
                </c:pt>
                <c:pt idx="69">
                  <c:v>9041</c:v>
                </c:pt>
                <c:pt idx="70">
                  <c:v>9072</c:v>
                </c:pt>
                <c:pt idx="71">
                  <c:v>9102</c:v>
                </c:pt>
                <c:pt idx="72">
                  <c:v>9133</c:v>
                </c:pt>
                <c:pt idx="73">
                  <c:v>9164</c:v>
                </c:pt>
                <c:pt idx="74">
                  <c:v>9192</c:v>
                </c:pt>
                <c:pt idx="75">
                  <c:v>9223</c:v>
                </c:pt>
                <c:pt idx="76">
                  <c:v>9253</c:v>
                </c:pt>
                <c:pt idx="77">
                  <c:v>9284</c:v>
                </c:pt>
                <c:pt idx="78">
                  <c:v>9314</c:v>
                </c:pt>
                <c:pt idx="79">
                  <c:v>9345</c:v>
                </c:pt>
                <c:pt idx="80">
                  <c:v>9376</c:v>
                </c:pt>
                <c:pt idx="81">
                  <c:v>9406</c:v>
                </c:pt>
                <c:pt idx="82">
                  <c:v>9437</c:v>
                </c:pt>
                <c:pt idx="83">
                  <c:v>9467</c:v>
                </c:pt>
                <c:pt idx="84">
                  <c:v>9498</c:v>
                </c:pt>
                <c:pt idx="85">
                  <c:v>9529</c:v>
                </c:pt>
                <c:pt idx="86">
                  <c:v>9557</c:v>
                </c:pt>
                <c:pt idx="87">
                  <c:v>9588</c:v>
                </c:pt>
                <c:pt idx="88">
                  <c:v>9618</c:v>
                </c:pt>
                <c:pt idx="89">
                  <c:v>9649</c:v>
                </c:pt>
                <c:pt idx="90">
                  <c:v>9679</c:v>
                </c:pt>
                <c:pt idx="91">
                  <c:v>9710</c:v>
                </c:pt>
                <c:pt idx="92">
                  <c:v>9741</c:v>
                </c:pt>
                <c:pt idx="93">
                  <c:v>9771</c:v>
                </c:pt>
                <c:pt idx="94">
                  <c:v>9802</c:v>
                </c:pt>
                <c:pt idx="95">
                  <c:v>9832</c:v>
                </c:pt>
                <c:pt idx="96">
                  <c:v>9863</c:v>
                </c:pt>
                <c:pt idx="97">
                  <c:v>9894</c:v>
                </c:pt>
                <c:pt idx="98">
                  <c:v>9922</c:v>
                </c:pt>
                <c:pt idx="99">
                  <c:v>9953</c:v>
                </c:pt>
                <c:pt idx="100">
                  <c:v>9983</c:v>
                </c:pt>
                <c:pt idx="101">
                  <c:v>10014</c:v>
                </c:pt>
                <c:pt idx="102">
                  <c:v>10044</c:v>
                </c:pt>
                <c:pt idx="103">
                  <c:v>10075</c:v>
                </c:pt>
                <c:pt idx="104">
                  <c:v>10106</c:v>
                </c:pt>
                <c:pt idx="105">
                  <c:v>10136</c:v>
                </c:pt>
                <c:pt idx="106">
                  <c:v>10167</c:v>
                </c:pt>
                <c:pt idx="107">
                  <c:v>10197</c:v>
                </c:pt>
                <c:pt idx="108">
                  <c:v>10228</c:v>
                </c:pt>
                <c:pt idx="109">
                  <c:v>10259</c:v>
                </c:pt>
                <c:pt idx="110">
                  <c:v>10288</c:v>
                </c:pt>
                <c:pt idx="111">
                  <c:v>10319</c:v>
                </c:pt>
                <c:pt idx="112">
                  <c:v>10349</c:v>
                </c:pt>
                <c:pt idx="113">
                  <c:v>10380</c:v>
                </c:pt>
                <c:pt idx="114">
                  <c:v>10410</c:v>
                </c:pt>
                <c:pt idx="115">
                  <c:v>10441</c:v>
                </c:pt>
                <c:pt idx="116">
                  <c:v>10472</c:v>
                </c:pt>
                <c:pt idx="117">
                  <c:v>10502</c:v>
                </c:pt>
                <c:pt idx="118">
                  <c:v>10533</c:v>
                </c:pt>
                <c:pt idx="119">
                  <c:v>10563</c:v>
                </c:pt>
                <c:pt idx="120">
                  <c:v>10594</c:v>
                </c:pt>
                <c:pt idx="121">
                  <c:v>10625</c:v>
                </c:pt>
                <c:pt idx="122">
                  <c:v>10653</c:v>
                </c:pt>
                <c:pt idx="123">
                  <c:v>10684</c:v>
                </c:pt>
                <c:pt idx="124">
                  <c:v>10714</c:v>
                </c:pt>
                <c:pt idx="125">
                  <c:v>10745</c:v>
                </c:pt>
                <c:pt idx="126">
                  <c:v>10775</c:v>
                </c:pt>
                <c:pt idx="127">
                  <c:v>10806</c:v>
                </c:pt>
                <c:pt idx="128">
                  <c:v>10837</c:v>
                </c:pt>
                <c:pt idx="129">
                  <c:v>10867</c:v>
                </c:pt>
                <c:pt idx="130">
                  <c:v>10898</c:v>
                </c:pt>
                <c:pt idx="131">
                  <c:v>10928</c:v>
                </c:pt>
              </c:numCache>
            </c:numRef>
          </c:cat>
          <c:val>
            <c:numRef>
              <c:f>'Vintages Starting 2005-08-01'!$D$19:$D$150</c:f>
              <c:numCache>
                <c:formatCode>0.00</c:formatCode>
                <c:ptCount val="132"/>
                <c:pt idx="0">
                  <c:v>4.5599999999999996</c:v>
                </c:pt>
                <c:pt idx="1">
                  <c:v>4.5599999999999996</c:v>
                </c:pt>
                <c:pt idx="2">
                  <c:v>4.5599999999999996</c:v>
                </c:pt>
                <c:pt idx="3">
                  <c:v>4.5599999999999996</c:v>
                </c:pt>
                <c:pt idx="4">
                  <c:v>4.5599999999999996</c:v>
                </c:pt>
                <c:pt idx="5">
                  <c:v>4.5599999999999996</c:v>
                </c:pt>
                <c:pt idx="6">
                  <c:v>4.5599999999999996</c:v>
                </c:pt>
                <c:pt idx="7">
                  <c:v>4.5599999999999996</c:v>
                </c:pt>
                <c:pt idx="8">
                  <c:v>4.5599999999999996</c:v>
                </c:pt>
                <c:pt idx="9">
                  <c:v>4.5599999999999996</c:v>
                </c:pt>
                <c:pt idx="10">
                  <c:v>4.74</c:v>
                </c:pt>
                <c:pt idx="11">
                  <c:v>4.75</c:v>
                </c:pt>
                <c:pt idx="12">
                  <c:v>5.1100000000000003</c:v>
                </c:pt>
                <c:pt idx="13">
                  <c:v>6</c:v>
                </c:pt>
                <c:pt idx="14">
                  <c:v>6</c:v>
                </c:pt>
                <c:pt idx="15">
                  <c:v>6</c:v>
                </c:pt>
                <c:pt idx="16">
                  <c:v>6</c:v>
                </c:pt>
                <c:pt idx="17">
                  <c:v>7</c:v>
                </c:pt>
                <c:pt idx="18">
                  <c:v>7</c:v>
                </c:pt>
                <c:pt idx="19">
                  <c:v>7</c:v>
                </c:pt>
                <c:pt idx="20">
                  <c:v>7</c:v>
                </c:pt>
                <c:pt idx="21">
                  <c:v>7</c:v>
                </c:pt>
                <c:pt idx="22">
                  <c:v>7</c:v>
                </c:pt>
                <c:pt idx="23">
                  <c:v>7</c:v>
                </c:pt>
                <c:pt idx="24">
                  <c:v>7</c:v>
                </c:pt>
                <c:pt idx="25">
                  <c:v>7</c:v>
                </c:pt>
                <c:pt idx="26">
                  <c:v>7</c:v>
                </c:pt>
                <c:pt idx="27">
                  <c:v>7</c:v>
                </c:pt>
                <c:pt idx="28">
                  <c:v>6.56</c:v>
                </c:pt>
                <c:pt idx="29">
                  <c:v>6.25</c:v>
                </c:pt>
                <c:pt idx="30">
                  <c:v>5.82</c:v>
                </c:pt>
                <c:pt idx="31">
                  <c:v>5.5</c:v>
                </c:pt>
                <c:pt idx="32">
                  <c:v>5.35</c:v>
                </c:pt>
                <c:pt idx="33">
                  <c:v>5</c:v>
                </c:pt>
                <c:pt idx="34">
                  <c:v>4.53</c:v>
                </c:pt>
                <c:pt idx="35">
                  <c:v>4.5</c:v>
                </c:pt>
                <c:pt idx="36">
                  <c:v>4.5</c:v>
                </c:pt>
                <c:pt idx="37">
                  <c:v>4.5</c:v>
                </c:pt>
                <c:pt idx="38">
                  <c:v>4.5</c:v>
                </c:pt>
                <c:pt idx="39">
                  <c:v>4.5</c:v>
                </c:pt>
                <c:pt idx="40">
                  <c:v>4.5</c:v>
                </c:pt>
                <c:pt idx="41">
                  <c:v>4.3499999999999996</c:v>
                </c:pt>
                <c:pt idx="42">
                  <c:v>4</c:v>
                </c:pt>
                <c:pt idx="43">
                  <c:v>4</c:v>
                </c:pt>
                <c:pt idx="44">
                  <c:v>4</c:v>
                </c:pt>
                <c:pt idx="45">
                  <c:v>4</c:v>
                </c:pt>
                <c:pt idx="46">
                  <c:v>4</c:v>
                </c:pt>
                <c:pt idx="47">
                  <c:v>4</c:v>
                </c:pt>
                <c:pt idx="48">
                  <c:v>4</c:v>
                </c:pt>
                <c:pt idx="49">
                  <c:v>4.1100000000000003</c:v>
                </c:pt>
                <c:pt idx="50">
                  <c:v>4.5</c:v>
                </c:pt>
                <c:pt idx="51">
                  <c:v>4.5</c:v>
                </c:pt>
                <c:pt idx="52">
                  <c:v>4.5</c:v>
                </c:pt>
                <c:pt idx="53">
                  <c:v>4.5</c:v>
                </c:pt>
                <c:pt idx="54">
                  <c:v>4.5</c:v>
                </c:pt>
                <c:pt idx="55">
                  <c:v>4.5</c:v>
                </c:pt>
                <c:pt idx="56">
                  <c:v>4.5</c:v>
                </c:pt>
                <c:pt idx="57">
                  <c:v>4.5</c:v>
                </c:pt>
                <c:pt idx="58">
                  <c:v>4.5</c:v>
                </c:pt>
                <c:pt idx="59">
                  <c:v>4.5</c:v>
                </c:pt>
                <c:pt idx="60">
                  <c:v>4.5</c:v>
                </c:pt>
                <c:pt idx="61">
                  <c:v>4.5</c:v>
                </c:pt>
                <c:pt idx="62">
                  <c:v>4.5</c:v>
                </c:pt>
                <c:pt idx="63">
                  <c:v>4.5</c:v>
                </c:pt>
                <c:pt idx="64">
                  <c:v>4</c:v>
                </c:pt>
                <c:pt idx="65">
                  <c:v>3.68</c:v>
                </c:pt>
                <c:pt idx="66">
                  <c:v>3.5</c:v>
                </c:pt>
                <c:pt idx="67">
                  <c:v>3.11</c:v>
                </c:pt>
                <c:pt idx="68">
                  <c:v>3</c:v>
                </c:pt>
                <c:pt idx="69">
                  <c:v>3</c:v>
                </c:pt>
                <c:pt idx="70">
                  <c:v>3</c:v>
                </c:pt>
                <c:pt idx="71">
                  <c:v>3</c:v>
                </c:pt>
                <c:pt idx="72">
                  <c:v>3</c:v>
                </c:pt>
                <c:pt idx="73">
                  <c:v>3.04</c:v>
                </c:pt>
                <c:pt idx="74">
                  <c:v>3.5</c:v>
                </c:pt>
                <c:pt idx="75">
                  <c:v>3.5</c:v>
                </c:pt>
                <c:pt idx="76">
                  <c:v>3.5</c:v>
                </c:pt>
                <c:pt idx="77">
                  <c:v>3.5</c:v>
                </c:pt>
                <c:pt idx="78">
                  <c:v>3.5</c:v>
                </c:pt>
                <c:pt idx="79">
                  <c:v>3.5</c:v>
                </c:pt>
                <c:pt idx="80">
                  <c:v>3.5</c:v>
                </c:pt>
                <c:pt idx="81">
                  <c:v>3.5</c:v>
                </c:pt>
                <c:pt idx="82">
                  <c:v>3.5</c:v>
                </c:pt>
                <c:pt idx="83">
                  <c:v>3.5</c:v>
                </c:pt>
                <c:pt idx="84">
                  <c:v>3.89</c:v>
                </c:pt>
                <c:pt idx="85">
                  <c:v>4</c:v>
                </c:pt>
                <c:pt idx="86">
                  <c:v>4</c:v>
                </c:pt>
                <c:pt idx="87">
                  <c:v>3.87</c:v>
                </c:pt>
                <c:pt idx="88">
                  <c:v>3.5</c:v>
                </c:pt>
                <c:pt idx="89">
                  <c:v>3.5</c:v>
                </c:pt>
                <c:pt idx="90">
                  <c:v>3.5</c:v>
                </c:pt>
                <c:pt idx="91">
                  <c:v>3.81</c:v>
                </c:pt>
                <c:pt idx="92">
                  <c:v>4</c:v>
                </c:pt>
                <c:pt idx="93">
                  <c:v>4</c:v>
                </c:pt>
                <c:pt idx="94">
                  <c:v>4</c:v>
                </c:pt>
                <c:pt idx="95">
                  <c:v>4</c:v>
                </c:pt>
                <c:pt idx="96">
                  <c:v>4</c:v>
                </c:pt>
                <c:pt idx="97">
                  <c:v>4</c:v>
                </c:pt>
                <c:pt idx="98">
                  <c:v>4</c:v>
                </c:pt>
                <c:pt idx="99">
                  <c:v>4</c:v>
                </c:pt>
                <c:pt idx="100">
                  <c:v>4</c:v>
                </c:pt>
                <c:pt idx="101">
                  <c:v>4</c:v>
                </c:pt>
                <c:pt idx="102">
                  <c:v>4</c:v>
                </c:pt>
                <c:pt idx="103">
                  <c:v>3.56</c:v>
                </c:pt>
                <c:pt idx="104">
                  <c:v>3.5</c:v>
                </c:pt>
                <c:pt idx="105">
                  <c:v>3.5</c:v>
                </c:pt>
                <c:pt idx="106">
                  <c:v>3.5</c:v>
                </c:pt>
                <c:pt idx="107">
                  <c:v>3.5</c:v>
                </c:pt>
                <c:pt idx="108">
                  <c:v>3.5</c:v>
                </c:pt>
                <c:pt idx="109">
                  <c:v>3.97</c:v>
                </c:pt>
                <c:pt idx="110">
                  <c:v>4</c:v>
                </c:pt>
                <c:pt idx="111">
                  <c:v>4</c:v>
                </c:pt>
                <c:pt idx="112">
                  <c:v>4.2300000000000004</c:v>
                </c:pt>
                <c:pt idx="113">
                  <c:v>4.5</c:v>
                </c:pt>
                <c:pt idx="114">
                  <c:v>4.8099999999999996</c:v>
                </c:pt>
                <c:pt idx="115">
                  <c:v>5</c:v>
                </c:pt>
                <c:pt idx="116">
                  <c:v>5</c:v>
                </c:pt>
                <c:pt idx="117">
                  <c:v>5</c:v>
                </c:pt>
                <c:pt idx="118">
                  <c:v>5</c:v>
                </c:pt>
                <c:pt idx="119">
                  <c:v>5</c:v>
                </c:pt>
                <c:pt idx="120">
                  <c:v>5</c:v>
                </c:pt>
                <c:pt idx="121">
                  <c:v>5</c:v>
                </c:pt>
                <c:pt idx="122">
                  <c:v>5</c:v>
                </c:pt>
                <c:pt idx="123">
                  <c:v>5</c:v>
                </c:pt>
                <c:pt idx="124">
                  <c:v>5</c:v>
                </c:pt>
                <c:pt idx="125">
                  <c:v>5</c:v>
                </c:pt>
                <c:pt idx="126">
                  <c:v>5</c:v>
                </c:pt>
                <c:pt idx="127">
                  <c:v>5.74</c:v>
                </c:pt>
                <c:pt idx="128">
                  <c:v>6</c:v>
                </c:pt>
                <c:pt idx="129">
                  <c:v>6</c:v>
                </c:pt>
                <c:pt idx="130">
                  <c:v>4.7300000000000004</c:v>
                </c:pt>
                <c:pt idx="131">
                  <c:v>4.5</c:v>
                </c:pt>
              </c:numCache>
            </c:numRef>
          </c:val>
          <c:smooth val="0"/>
          <c:extLst>
            <c:ext xmlns:c16="http://schemas.microsoft.com/office/drawing/2014/chart" uri="{C3380CC4-5D6E-409C-BE32-E72D297353CC}">
              <c16:uniqueId val="{00000002-4501-4D2E-A9E8-FE1A85EDF951}"/>
            </c:ext>
          </c:extLst>
        </c:ser>
        <c:ser>
          <c:idx val="3"/>
          <c:order val="3"/>
          <c:tx>
            <c:v>NY Commercial Paper</c:v>
          </c:tx>
          <c:spPr>
            <a:ln w="28575" cap="rnd">
              <a:solidFill>
                <a:schemeClr val="accent4"/>
              </a:solidFill>
              <a:round/>
            </a:ln>
            <a:effectLst/>
          </c:spPr>
          <c:marker>
            <c:symbol val="none"/>
          </c:marker>
          <c:cat>
            <c:numRef>
              <c:f>'Vintages Starting 2005-08-01'!$A$19:$A$150</c:f>
              <c:numCache>
                <c:formatCode>yyyy\-mm\-dd</c:formatCode>
                <c:ptCount val="132"/>
                <c:pt idx="0">
                  <c:v>6941</c:v>
                </c:pt>
                <c:pt idx="1">
                  <c:v>6972</c:v>
                </c:pt>
                <c:pt idx="2">
                  <c:v>7000</c:v>
                </c:pt>
                <c:pt idx="3">
                  <c:v>7031</c:v>
                </c:pt>
                <c:pt idx="4">
                  <c:v>7061</c:v>
                </c:pt>
                <c:pt idx="5">
                  <c:v>7092</c:v>
                </c:pt>
                <c:pt idx="6">
                  <c:v>7122</c:v>
                </c:pt>
                <c:pt idx="7">
                  <c:v>7153</c:v>
                </c:pt>
                <c:pt idx="8">
                  <c:v>7184</c:v>
                </c:pt>
                <c:pt idx="9">
                  <c:v>7214</c:v>
                </c:pt>
                <c:pt idx="10">
                  <c:v>7245</c:v>
                </c:pt>
                <c:pt idx="11">
                  <c:v>7275</c:v>
                </c:pt>
                <c:pt idx="12">
                  <c:v>7306</c:v>
                </c:pt>
                <c:pt idx="13">
                  <c:v>7337</c:v>
                </c:pt>
                <c:pt idx="14">
                  <c:v>7366</c:v>
                </c:pt>
                <c:pt idx="15">
                  <c:v>7397</c:v>
                </c:pt>
                <c:pt idx="16">
                  <c:v>7427</c:v>
                </c:pt>
                <c:pt idx="17">
                  <c:v>7458</c:v>
                </c:pt>
                <c:pt idx="18">
                  <c:v>7488</c:v>
                </c:pt>
                <c:pt idx="19">
                  <c:v>7519</c:v>
                </c:pt>
                <c:pt idx="20">
                  <c:v>7550</c:v>
                </c:pt>
                <c:pt idx="21">
                  <c:v>7580</c:v>
                </c:pt>
                <c:pt idx="22">
                  <c:v>7611</c:v>
                </c:pt>
                <c:pt idx="23">
                  <c:v>7641</c:v>
                </c:pt>
                <c:pt idx="24">
                  <c:v>7672</c:v>
                </c:pt>
                <c:pt idx="25">
                  <c:v>7703</c:v>
                </c:pt>
                <c:pt idx="26">
                  <c:v>7731</c:v>
                </c:pt>
                <c:pt idx="27">
                  <c:v>7762</c:v>
                </c:pt>
                <c:pt idx="28">
                  <c:v>7792</c:v>
                </c:pt>
                <c:pt idx="29">
                  <c:v>7823</c:v>
                </c:pt>
                <c:pt idx="30">
                  <c:v>7853</c:v>
                </c:pt>
                <c:pt idx="31">
                  <c:v>7884</c:v>
                </c:pt>
                <c:pt idx="32">
                  <c:v>7915</c:v>
                </c:pt>
                <c:pt idx="33">
                  <c:v>7945</c:v>
                </c:pt>
                <c:pt idx="34">
                  <c:v>7976</c:v>
                </c:pt>
                <c:pt idx="35">
                  <c:v>8006</c:v>
                </c:pt>
                <c:pt idx="36">
                  <c:v>8037</c:v>
                </c:pt>
                <c:pt idx="37">
                  <c:v>8068</c:v>
                </c:pt>
                <c:pt idx="38">
                  <c:v>8096</c:v>
                </c:pt>
                <c:pt idx="39">
                  <c:v>8127</c:v>
                </c:pt>
                <c:pt idx="40">
                  <c:v>8157</c:v>
                </c:pt>
                <c:pt idx="41">
                  <c:v>8188</c:v>
                </c:pt>
                <c:pt idx="42">
                  <c:v>8218</c:v>
                </c:pt>
                <c:pt idx="43">
                  <c:v>8249</c:v>
                </c:pt>
                <c:pt idx="44">
                  <c:v>8280</c:v>
                </c:pt>
                <c:pt idx="45">
                  <c:v>8310</c:v>
                </c:pt>
                <c:pt idx="46">
                  <c:v>8341</c:v>
                </c:pt>
                <c:pt idx="47">
                  <c:v>8371</c:v>
                </c:pt>
                <c:pt idx="48">
                  <c:v>8402</c:v>
                </c:pt>
                <c:pt idx="49">
                  <c:v>8433</c:v>
                </c:pt>
                <c:pt idx="50">
                  <c:v>8461</c:v>
                </c:pt>
                <c:pt idx="51">
                  <c:v>8492</c:v>
                </c:pt>
                <c:pt idx="52">
                  <c:v>8522</c:v>
                </c:pt>
                <c:pt idx="53">
                  <c:v>8553</c:v>
                </c:pt>
                <c:pt idx="54">
                  <c:v>8583</c:v>
                </c:pt>
                <c:pt idx="55">
                  <c:v>8614</c:v>
                </c:pt>
                <c:pt idx="56">
                  <c:v>8645</c:v>
                </c:pt>
                <c:pt idx="57">
                  <c:v>8675</c:v>
                </c:pt>
                <c:pt idx="58">
                  <c:v>8706</c:v>
                </c:pt>
                <c:pt idx="59">
                  <c:v>8736</c:v>
                </c:pt>
                <c:pt idx="60">
                  <c:v>8767</c:v>
                </c:pt>
                <c:pt idx="61">
                  <c:v>8798</c:v>
                </c:pt>
                <c:pt idx="62">
                  <c:v>8827</c:v>
                </c:pt>
                <c:pt idx="63">
                  <c:v>8858</c:v>
                </c:pt>
                <c:pt idx="64">
                  <c:v>8888</c:v>
                </c:pt>
                <c:pt idx="65">
                  <c:v>8919</c:v>
                </c:pt>
                <c:pt idx="66">
                  <c:v>8949</c:v>
                </c:pt>
                <c:pt idx="67">
                  <c:v>8980</c:v>
                </c:pt>
                <c:pt idx="68">
                  <c:v>9011</c:v>
                </c:pt>
                <c:pt idx="69">
                  <c:v>9041</c:v>
                </c:pt>
                <c:pt idx="70">
                  <c:v>9072</c:v>
                </c:pt>
                <c:pt idx="71">
                  <c:v>9102</c:v>
                </c:pt>
                <c:pt idx="72">
                  <c:v>9133</c:v>
                </c:pt>
                <c:pt idx="73">
                  <c:v>9164</c:v>
                </c:pt>
                <c:pt idx="74">
                  <c:v>9192</c:v>
                </c:pt>
                <c:pt idx="75">
                  <c:v>9223</c:v>
                </c:pt>
                <c:pt idx="76">
                  <c:v>9253</c:v>
                </c:pt>
                <c:pt idx="77">
                  <c:v>9284</c:v>
                </c:pt>
                <c:pt idx="78">
                  <c:v>9314</c:v>
                </c:pt>
                <c:pt idx="79">
                  <c:v>9345</c:v>
                </c:pt>
                <c:pt idx="80">
                  <c:v>9376</c:v>
                </c:pt>
                <c:pt idx="81">
                  <c:v>9406</c:v>
                </c:pt>
                <c:pt idx="82">
                  <c:v>9437</c:v>
                </c:pt>
                <c:pt idx="83">
                  <c:v>9467</c:v>
                </c:pt>
                <c:pt idx="84">
                  <c:v>9498</c:v>
                </c:pt>
                <c:pt idx="85">
                  <c:v>9529</c:v>
                </c:pt>
                <c:pt idx="86">
                  <c:v>9557</c:v>
                </c:pt>
                <c:pt idx="87">
                  <c:v>9588</c:v>
                </c:pt>
                <c:pt idx="88">
                  <c:v>9618</c:v>
                </c:pt>
                <c:pt idx="89">
                  <c:v>9649</c:v>
                </c:pt>
                <c:pt idx="90">
                  <c:v>9679</c:v>
                </c:pt>
                <c:pt idx="91">
                  <c:v>9710</c:v>
                </c:pt>
                <c:pt idx="92">
                  <c:v>9741</c:v>
                </c:pt>
                <c:pt idx="93">
                  <c:v>9771</c:v>
                </c:pt>
                <c:pt idx="94">
                  <c:v>9802</c:v>
                </c:pt>
                <c:pt idx="95">
                  <c:v>9832</c:v>
                </c:pt>
                <c:pt idx="96">
                  <c:v>9863</c:v>
                </c:pt>
                <c:pt idx="97">
                  <c:v>9894</c:v>
                </c:pt>
                <c:pt idx="98">
                  <c:v>9922</c:v>
                </c:pt>
                <c:pt idx="99">
                  <c:v>9953</c:v>
                </c:pt>
                <c:pt idx="100">
                  <c:v>9983</c:v>
                </c:pt>
                <c:pt idx="101">
                  <c:v>10014</c:v>
                </c:pt>
                <c:pt idx="102">
                  <c:v>10044</c:v>
                </c:pt>
                <c:pt idx="103">
                  <c:v>10075</c:v>
                </c:pt>
                <c:pt idx="104">
                  <c:v>10106</c:v>
                </c:pt>
                <c:pt idx="105">
                  <c:v>10136</c:v>
                </c:pt>
                <c:pt idx="106">
                  <c:v>10167</c:v>
                </c:pt>
                <c:pt idx="107">
                  <c:v>10197</c:v>
                </c:pt>
                <c:pt idx="108">
                  <c:v>10228</c:v>
                </c:pt>
                <c:pt idx="109">
                  <c:v>10259</c:v>
                </c:pt>
                <c:pt idx="110">
                  <c:v>10288</c:v>
                </c:pt>
                <c:pt idx="111">
                  <c:v>10319</c:v>
                </c:pt>
                <c:pt idx="112">
                  <c:v>10349</c:v>
                </c:pt>
                <c:pt idx="113">
                  <c:v>10380</c:v>
                </c:pt>
                <c:pt idx="114">
                  <c:v>10410</c:v>
                </c:pt>
                <c:pt idx="115">
                  <c:v>10441</c:v>
                </c:pt>
                <c:pt idx="116">
                  <c:v>10472</c:v>
                </c:pt>
                <c:pt idx="117">
                  <c:v>10502</c:v>
                </c:pt>
                <c:pt idx="118">
                  <c:v>10533</c:v>
                </c:pt>
                <c:pt idx="119">
                  <c:v>10563</c:v>
                </c:pt>
                <c:pt idx="120">
                  <c:v>10594</c:v>
                </c:pt>
                <c:pt idx="121">
                  <c:v>10625</c:v>
                </c:pt>
                <c:pt idx="122">
                  <c:v>10653</c:v>
                </c:pt>
                <c:pt idx="123">
                  <c:v>10684</c:v>
                </c:pt>
                <c:pt idx="124">
                  <c:v>10714</c:v>
                </c:pt>
                <c:pt idx="125">
                  <c:v>10745</c:v>
                </c:pt>
                <c:pt idx="126">
                  <c:v>10775</c:v>
                </c:pt>
                <c:pt idx="127">
                  <c:v>10806</c:v>
                </c:pt>
                <c:pt idx="128">
                  <c:v>10837</c:v>
                </c:pt>
                <c:pt idx="129">
                  <c:v>10867</c:v>
                </c:pt>
                <c:pt idx="130">
                  <c:v>10898</c:v>
                </c:pt>
                <c:pt idx="131">
                  <c:v>10928</c:v>
                </c:pt>
              </c:numCache>
            </c:numRef>
          </c:cat>
          <c:val>
            <c:numRef>
              <c:f>'Vintages Starting 2005-08-01'!$E$19:$E$150</c:f>
              <c:numCache>
                <c:formatCode>0.00</c:formatCode>
                <c:ptCount val="132"/>
                <c:pt idx="0">
                  <c:v>5.25</c:v>
                </c:pt>
                <c:pt idx="1">
                  <c:v>5.18</c:v>
                </c:pt>
                <c:pt idx="2">
                  <c:v>5.38</c:v>
                </c:pt>
                <c:pt idx="3">
                  <c:v>5.38</c:v>
                </c:pt>
                <c:pt idx="4">
                  <c:v>5.38</c:v>
                </c:pt>
                <c:pt idx="5">
                  <c:v>5.53</c:v>
                </c:pt>
                <c:pt idx="6">
                  <c:v>5.43</c:v>
                </c:pt>
                <c:pt idx="7">
                  <c:v>5.38</c:v>
                </c:pt>
                <c:pt idx="8">
                  <c:v>5.38</c:v>
                </c:pt>
                <c:pt idx="9">
                  <c:v>5.38</c:v>
                </c:pt>
                <c:pt idx="10">
                  <c:v>5.5</c:v>
                </c:pt>
                <c:pt idx="11">
                  <c:v>5.88</c:v>
                </c:pt>
                <c:pt idx="12">
                  <c:v>6</c:v>
                </c:pt>
                <c:pt idx="13">
                  <c:v>6.4</c:v>
                </c:pt>
                <c:pt idx="14">
                  <c:v>6.67</c:v>
                </c:pt>
                <c:pt idx="15">
                  <c:v>6.82</c:v>
                </c:pt>
                <c:pt idx="16">
                  <c:v>7.16</c:v>
                </c:pt>
                <c:pt idx="17">
                  <c:v>7.72</c:v>
                </c:pt>
                <c:pt idx="18">
                  <c:v>7.84</c:v>
                </c:pt>
                <c:pt idx="19">
                  <c:v>8</c:v>
                </c:pt>
                <c:pt idx="20">
                  <c:v>7.97</c:v>
                </c:pt>
                <c:pt idx="21">
                  <c:v>8</c:v>
                </c:pt>
                <c:pt idx="22">
                  <c:v>7.93</c:v>
                </c:pt>
                <c:pt idx="23">
                  <c:v>7.88</c:v>
                </c:pt>
                <c:pt idx="24">
                  <c:v>7.82</c:v>
                </c:pt>
                <c:pt idx="25">
                  <c:v>7.75</c:v>
                </c:pt>
                <c:pt idx="26">
                  <c:v>7.62</c:v>
                </c:pt>
                <c:pt idx="27">
                  <c:v>7.56</c:v>
                </c:pt>
                <c:pt idx="28">
                  <c:v>6.93</c:v>
                </c:pt>
                <c:pt idx="29">
                  <c:v>6.71</c:v>
                </c:pt>
                <c:pt idx="30">
                  <c:v>6.28</c:v>
                </c:pt>
                <c:pt idx="31">
                  <c:v>5.95</c:v>
                </c:pt>
                <c:pt idx="32">
                  <c:v>5.88</c:v>
                </c:pt>
                <c:pt idx="33">
                  <c:v>5.62</c:v>
                </c:pt>
                <c:pt idx="34">
                  <c:v>5.17</c:v>
                </c:pt>
                <c:pt idx="35">
                  <c:v>5.12</c:v>
                </c:pt>
                <c:pt idx="36">
                  <c:v>4.91</c:v>
                </c:pt>
                <c:pt idx="37">
                  <c:v>4.88</c:v>
                </c:pt>
                <c:pt idx="38">
                  <c:v>4.79</c:v>
                </c:pt>
                <c:pt idx="39">
                  <c:v>4.5599999999999996</c:v>
                </c:pt>
                <c:pt idx="40">
                  <c:v>4.28</c:v>
                </c:pt>
                <c:pt idx="41">
                  <c:v>4.03</c:v>
                </c:pt>
                <c:pt idx="42">
                  <c:v>3.94</c:v>
                </c:pt>
                <c:pt idx="43">
                  <c:v>3.88</c:v>
                </c:pt>
                <c:pt idx="44">
                  <c:v>4.1900000000000004</c:v>
                </c:pt>
                <c:pt idx="45">
                  <c:v>4.3899999999999997</c:v>
                </c:pt>
                <c:pt idx="46">
                  <c:v>4.6100000000000003</c:v>
                </c:pt>
                <c:pt idx="47">
                  <c:v>4.62</c:v>
                </c:pt>
                <c:pt idx="48">
                  <c:v>4.62</c:v>
                </c:pt>
                <c:pt idx="49">
                  <c:v>4.68</c:v>
                </c:pt>
                <c:pt idx="50">
                  <c:v>5.03</c:v>
                </c:pt>
                <c:pt idx="51">
                  <c:v>5.12</c:v>
                </c:pt>
                <c:pt idx="52">
                  <c:v>5.12</c:v>
                </c:pt>
                <c:pt idx="53">
                  <c:v>4.91</c:v>
                </c:pt>
                <c:pt idx="54">
                  <c:v>4.95</c:v>
                </c:pt>
                <c:pt idx="55">
                  <c:v>5.03</c:v>
                </c:pt>
                <c:pt idx="56">
                  <c:v>5.12</c:v>
                </c:pt>
                <c:pt idx="57">
                  <c:v>5.12</c:v>
                </c:pt>
                <c:pt idx="58">
                  <c:v>5.09</c:v>
                </c:pt>
                <c:pt idx="59">
                  <c:v>4.88</c:v>
                </c:pt>
                <c:pt idx="60">
                  <c:v>4.88</c:v>
                </c:pt>
                <c:pt idx="61">
                  <c:v>4.78</c:v>
                </c:pt>
                <c:pt idx="62">
                  <c:v>4.62</c:v>
                </c:pt>
                <c:pt idx="63">
                  <c:v>4.62</c:v>
                </c:pt>
                <c:pt idx="64">
                  <c:v>4.1900000000000004</c:v>
                </c:pt>
                <c:pt idx="65">
                  <c:v>3.97</c:v>
                </c:pt>
                <c:pt idx="66">
                  <c:v>3.52</c:v>
                </c:pt>
                <c:pt idx="67">
                  <c:v>3.25</c:v>
                </c:pt>
                <c:pt idx="68">
                  <c:v>3.12</c:v>
                </c:pt>
                <c:pt idx="69">
                  <c:v>3.12</c:v>
                </c:pt>
                <c:pt idx="70">
                  <c:v>3.22</c:v>
                </c:pt>
                <c:pt idx="71">
                  <c:v>3.55</c:v>
                </c:pt>
                <c:pt idx="72">
                  <c:v>3.62</c:v>
                </c:pt>
                <c:pt idx="73">
                  <c:v>3.62</c:v>
                </c:pt>
                <c:pt idx="74">
                  <c:v>3.91</c:v>
                </c:pt>
                <c:pt idx="75">
                  <c:v>3.93</c:v>
                </c:pt>
                <c:pt idx="76">
                  <c:v>3.88</c:v>
                </c:pt>
                <c:pt idx="77">
                  <c:v>3.88</c:v>
                </c:pt>
                <c:pt idx="78">
                  <c:v>3.9</c:v>
                </c:pt>
                <c:pt idx="79">
                  <c:v>3.97</c:v>
                </c:pt>
                <c:pt idx="80">
                  <c:v>4.1500000000000004</c:v>
                </c:pt>
                <c:pt idx="81">
                  <c:v>4.38</c:v>
                </c:pt>
                <c:pt idx="82">
                  <c:v>4.38</c:v>
                </c:pt>
                <c:pt idx="83">
                  <c:v>4.38</c:v>
                </c:pt>
                <c:pt idx="84">
                  <c:v>4.3499999999999996</c:v>
                </c:pt>
                <c:pt idx="85">
                  <c:v>4.1500000000000004</c:v>
                </c:pt>
                <c:pt idx="86">
                  <c:v>4.28</c:v>
                </c:pt>
                <c:pt idx="87">
                  <c:v>4.1900000000000004</c:v>
                </c:pt>
                <c:pt idx="88">
                  <c:v>4.03</c:v>
                </c:pt>
                <c:pt idx="89">
                  <c:v>3.88</c:v>
                </c:pt>
                <c:pt idx="90">
                  <c:v>3.94</c:v>
                </c:pt>
                <c:pt idx="91">
                  <c:v>4.22</c:v>
                </c:pt>
                <c:pt idx="92">
                  <c:v>4.4000000000000004</c:v>
                </c:pt>
                <c:pt idx="93">
                  <c:v>4.53</c:v>
                </c:pt>
                <c:pt idx="94">
                  <c:v>4.43</c:v>
                </c:pt>
                <c:pt idx="95">
                  <c:v>4.4000000000000004</c:v>
                </c:pt>
                <c:pt idx="96">
                  <c:v>4.1900000000000004</c:v>
                </c:pt>
                <c:pt idx="97">
                  <c:v>3.91</c:v>
                </c:pt>
                <c:pt idx="98">
                  <c:v>4</c:v>
                </c:pt>
                <c:pt idx="99">
                  <c:v>4.09</c:v>
                </c:pt>
                <c:pt idx="100">
                  <c:v>4.12</c:v>
                </c:pt>
                <c:pt idx="101">
                  <c:v>4.12</c:v>
                </c:pt>
                <c:pt idx="102">
                  <c:v>4.0599999999999996</c:v>
                </c:pt>
                <c:pt idx="103">
                  <c:v>3.9</c:v>
                </c:pt>
                <c:pt idx="104">
                  <c:v>3.91</c:v>
                </c:pt>
                <c:pt idx="105">
                  <c:v>4</c:v>
                </c:pt>
                <c:pt idx="106">
                  <c:v>3.93</c:v>
                </c:pt>
                <c:pt idx="107">
                  <c:v>3.97</c:v>
                </c:pt>
                <c:pt idx="108">
                  <c:v>3.88</c:v>
                </c:pt>
                <c:pt idx="109">
                  <c:v>3.99</c:v>
                </c:pt>
                <c:pt idx="110">
                  <c:v>4.1900000000000004</c:v>
                </c:pt>
                <c:pt idx="111">
                  <c:v>4.3099999999999996</c:v>
                </c:pt>
                <c:pt idx="112">
                  <c:v>4.55</c:v>
                </c:pt>
                <c:pt idx="113">
                  <c:v>4.72</c:v>
                </c:pt>
                <c:pt idx="114">
                  <c:v>5.09</c:v>
                </c:pt>
                <c:pt idx="115">
                  <c:v>5.42</c:v>
                </c:pt>
                <c:pt idx="116">
                  <c:v>5.59</c:v>
                </c:pt>
                <c:pt idx="117">
                  <c:v>5.51</c:v>
                </c:pt>
                <c:pt idx="118">
                  <c:v>5.38</c:v>
                </c:pt>
                <c:pt idx="119">
                  <c:v>5.44</c:v>
                </c:pt>
                <c:pt idx="120">
                  <c:v>5.5</c:v>
                </c:pt>
                <c:pt idx="121">
                  <c:v>5.56</c:v>
                </c:pt>
                <c:pt idx="122">
                  <c:v>5.69</c:v>
                </c:pt>
                <c:pt idx="123">
                  <c:v>5.88</c:v>
                </c:pt>
                <c:pt idx="124">
                  <c:v>6</c:v>
                </c:pt>
                <c:pt idx="125">
                  <c:v>6</c:v>
                </c:pt>
                <c:pt idx="126">
                  <c:v>6</c:v>
                </c:pt>
                <c:pt idx="127">
                  <c:v>6.08</c:v>
                </c:pt>
                <c:pt idx="128">
                  <c:v>6.12</c:v>
                </c:pt>
                <c:pt idx="129">
                  <c:v>6.12</c:v>
                </c:pt>
                <c:pt idx="130">
                  <c:v>5.41</c:v>
                </c:pt>
                <c:pt idx="131">
                  <c:v>5</c:v>
                </c:pt>
              </c:numCache>
            </c:numRef>
          </c:val>
          <c:smooth val="0"/>
          <c:extLst>
            <c:ext xmlns:c16="http://schemas.microsoft.com/office/drawing/2014/chart" uri="{C3380CC4-5D6E-409C-BE32-E72D297353CC}">
              <c16:uniqueId val="{00000003-4501-4D2E-A9E8-FE1A85EDF951}"/>
            </c:ext>
          </c:extLst>
        </c:ser>
        <c:dLbls>
          <c:showLegendKey val="0"/>
          <c:showVal val="0"/>
          <c:showCatName val="0"/>
          <c:showSerName val="0"/>
          <c:showPercent val="0"/>
          <c:showBubbleSize val="0"/>
        </c:dLbls>
        <c:smooth val="0"/>
        <c:axId val="183213384"/>
        <c:axId val="183216128"/>
      </c:lineChart>
      <c:dateAx>
        <c:axId val="183213384"/>
        <c:scaling>
          <c:orientation val="minMax"/>
        </c:scaling>
        <c:delete val="0"/>
        <c:axPos val="b"/>
        <c:numFmt formatCode="yyyy\-mm\-dd"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16128"/>
        <c:crosses val="autoZero"/>
        <c:auto val="1"/>
        <c:lblOffset val="100"/>
        <c:baseTimeUnit val="months"/>
      </c:dateAx>
      <c:valAx>
        <c:axId val="1832161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1338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a:t>
            </a:r>
          </a:p>
          <a:p>
            <a:pPr>
              <a:defRPr/>
            </a:pPr>
            <a:r>
              <a:rPr lang="en-US"/>
              <a:t>Log of</a:t>
            </a:r>
            <a:r>
              <a:rPr lang="en-US" baseline="0"/>
              <a:t> </a:t>
            </a:r>
            <a:r>
              <a:rPr lang="en-US"/>
              <a:t>Actual and Potential</a:t>
            </a:r>
            <a:r>
              <a:rPr lang="en-US" baseline="0"/>
              <a:t> GNP Based on Annual Data</a:t>
            </a:r>
            <a:endParaRPr lang="en-US"/>
          </a:p>
        </c:rich>
      </c:tx>
      <c:layout>
        <c:manualLayout>
          <c:xMode val="edge"/>
          <c:yMode val="edge"/>
          <c:x val="0.22710488188976377"/>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2330866141732284E-2"/>
          <c:y val="0.17402013682715889"/>
          <c:w val="0.80322456692913391"/>
          <c:h val="0.72088764946048411"/>
        </c:manualLayout>
      </c:layout>
      <c:lineChart>
        <c:grouping val="standard"/>
        <c:varyColors val="0"/>
        <c:ser>
          <c:idx val="0"/>
          <c:order val="0"/>
          <c:tx>
            <c:v>Actual GNP (see text)</c:v>
          </c:tx>
          <c:spPr>
            <a:ln w="28575" cap="rnd">
              <a:solidFill>
                <a:schemeClr val="accent1"/>
              </a:solidFill>
              <a:round/>
            </a:ln>
            <a:effectLst/>
          </c:spPr>
          <c:marker>
            <c:symbol val="none"/>
          </c:marker>
          <c:cat>
            <c:strRef>
              <c:f>'Ca213-218'!$A$8:$A$18</c:f>
              <c:strCache>
                <c:ptCount val="11"/>
                <c:pt idx="0">
                  <c:v>1919</c:v>
                </c:pt>
                <c:pt idx="1">
                  <c:v>1920</c:v>
                </c:pt>
                <c:pt idx="2">
                  <c:v>1921</c:v>
                </c:pt>
                <c:pt idx="3">
                  <c:v>1922</c:v>
                </c:pt>
                <c:pt idx="4">
                  <c:v>1923</c:v>
                </c:pt>
                <c:pt idx="5">
                  <c:v>1924</c:v>
                </c:pt>
                <c:pt idx="6">
                  <c:v>1925</c:v>
                </c:pt>
                <c:pt idx="7">
                  <c:v>1926</c:v>
                </c:pt>
                <c:pt idx="8">
                  <c:v>1927</c:v>
                </c:pt>
                <c:pt idx="9">
                  <c:v>1928</c:v>
                </c:pt>
                <c:pt idx="10">
                  <c:v>1929</c:v>
                </c:pt>
              </c:strCache>
            </c:strRef>
          </c:cat>
          <c:val>
            <c:numRef>
              <c:f>'Ca213-218'!$J$8:$J$18</c:f>
              <c:numCache>
                <c:formatCode>0.000</c:formatCode>
                <c:ptCount val="11"/>
                <c:pt idx="0">
                  <c:v>6.2255213318724545</c:v>
                </c:pt>
                <c:pt idx="1">
                  <c:v>6.2090245393279559</c:v>
                </c:pt>
                <c:pt idx="2">
                  <c:v>6.1791643236488252</c:v>
                </c:pt>
                <c:pt idx="3">
                  <c:v>6.2423681965863826</c:v>
                </c:pt>
                <c:pt idx="4">
                  <c:v>6.3699908760479849</c:v>
                </c:pt>
                <c:pt idx="5">
                  <c:v>6.3976602216208445</c:v>
                </c:pt>
                <c:pt idx="6">
                  <c:v>6.4209781579732859</c:v>
                </c:pt>
                <c:pt idx="7">
                  <c:v>6.4816023969510752</c:v>
                </c:pt>
                <c:pt idx="8">
                  <c:v>6.4891783352269634</c:v>
                </c:pt>
                <c:pt idx="9">
                  <c:v>6.5042791914603786</c:v>
                </c:pt>
                <c:pt idx="10">
                  <c:v>6.5647014309953695</c:v>
                </c:pt>
              </c:numCache>
            </c:numRef>
          </c:val>
          <c:smooth val="0"/>
          <c:extLst>
            <c:ext xmlns:c16="http://schemas.microsoft.com/office/drawing/2014/chart" uri="{C3380CC4-5D6E-409C-BE32-E72D297353CC}">
              <c16:uniqueId val="{00000000-E8E0-4B0E-994E-AA92E84EAE7E}"/>
            </c:ext>
          </c:extLst>
        </c:ser>
        <c:ser>
          <c:idx val="1"/>
          <c:order val="1"/>
          <c:tx>
            <c:v>Log of Potential Based on 1926-29 Growth</c:v>
          </c:tx>
          <c:spPr>
            <a:ln w="28575" cap="rnd">
              <a:solidFill>
                <a:schemeClr val="accent2"/>
              </a:solidFill>
              <a:round/>
            </a:ln>
            <a:effectLst/>
          </c:spPr>
          <c:marker>
            <c:symbol val="none"/>
          </c:marker>
          <c:cat>
            <c:strRef>
              <c:f>'Ca213-218'!$A$8:$A$18</c:f>
              <c:strCache>
                <c:ptCount val="11"/>
                <c:pt idx="0">
                  <c:v>1919</c:v>
                </c:pt>
                <c:pt idx="1">
                  <c:v>1920</c:v>
                </c:pt>
                <c:pt idx="2">
                  <c:v>1921</c:v>
                </c:pt>
                <c:pt idx="3">
                  <c:v>1922</c:v>
                </c:pt>
                <c:pt idx="4">
                  <c:v>1923</c:v>
                </c:pt>
                <c:pt idx="5">
                  <c:v>1924</c:v>
                </c:pt>
                <c:pt idx="6">
                  <c:v>1925</c:v>
                </c:pt>
                <c:pt idx="7">
                  <c:v>1926</c:v>
                </c:pt>
                <c:pt idx="8">
                  <c:v>1927</c:v>
                </c:pt>
                <c:pt idx="9">
                  <c:v>1928</c:v>
                </c:pt>
                <c:pt idx="10">
                  <c:v>1929</c:v>
                </c:pt>
              </c:strCache>
            </c:strRef>
          </c:cat>
          <c:val>
            <c:numRef>
              <c:f>'Ca213-218'!$M$8:$M$18</c:f>
              <c:numCache>
                <c:formatCode>0.000</c:formatCode>
                <c:ptCount val="11"/>
                <c:pt idx="0">
                  <c:v>6.2877046509510732</c:v>
                </c:pt>
                <c:pt idx="1">
                  <c:v>6.3154043289510735</c:v>
                </c:pt>
                <c:pt idx="2">
                  <c:v>6.3431040069510738</c:v>
                </c:pt>
                <c:pt idx="3">
                  <c:v>6.3708036849510741</c:v>
                </c:pt>
                <c:pt idx="4">
                  <c:v>6.3985033629510744</c:v>
                </c:pt>
                <c:pt idx="5">
                  <c:v>6.4262030409510746</c:v>
                </c:pt>
                <c:pt idx="6">
                  <c:v>6.4539027189510749</c:v>
                </c:pt>
                <c:pt idx="7">
                  <c:v>6.4816023969510752</c:v>
                </c:pt>
                <c:pt idx="8">
                  <c:v>6.5093020749510755</c:v>
                </c:pt>
                <c:pt idx="9">
                  <c:v>6.5370017529510758</c:v>
                </c:pt>
                <c:pt idx="10">
                  <c:v>6.5647014309510761</c:v>
                </c:pt>
              </c:numCache>
            </c:numRef>
          </c:val>
          <c:smooth val="0"/>
          <c:extLst>
            <c:ext xmlns:c16="http://schemas.microsoft.com/office/drawing/2014/chart" uri="{C3380CC4-5D6E-409C-BE32-E72D297353CC}">
              <c16:uniqueId val="{00000001-E8E0-4B0E-994E-AA92E84EAE7E}"/>
            </c:ext>
          </c:extLst>
        </c:ser>
        <c:dLbls>
          <c:showLegendKey val="0"/>
          <c:showVal val="0"/>
          <c:showCatName val="0"/>
          <c:showSerName val="0"/>
          <c:showPercent val="0"/>
          <c:showBubbleSize val="0"/>
        </c:dLbls>
        <c:smooth val="0"/>
        <c:axId val="183210640"/>
        <c:axId val="183215344"/>
      </c:lineChart>
      <c:catAx>
        <c:axId val="183210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15344"/>
        <c:crosses val="autoZero"/>
        <c:auto val="1"/>
        <c:lblAlgn val="ctr"/>
        <c:lblOffset val="100"/>
        <c:noMultiLvlLbl val="0"/>
      </c:catAx>
      <c:valAx>
        <c:axId val="183215344"/>
        <c:scaling>
          <c:orientation val="minMax"/>
          <c:min val="6.1"/>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10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3</a:t>
            </a:r>
          </a:p>
          <a:p>
            <a:pPr>
              <a:defRPr/>
            </a:pPr>
            <a:r>
              <a:rPr lang="en-US"/>
              <a:t>Log of Potential and Actual Industrial Production, 1919-1929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Log of Industrial Production</c:v>
          </c:tx>
          <c:spPr>
            <a:ln w="28575" cap="rnd">
              <a:solidFill>
                <a:schemeClr val="accent1"/>
              </a:solidFill>
              <a:round/>
            </a:ln>
            <a:effectLst/>
          </c:spPr>
          <c:marker>
            <c:symbol val="none"/>
          </c:marker>
          <c:cat>
            <c:numRef>
              <c:f>'60 percent elasticity of GNP'!$A$12:$A$143</c:f>
              <c:numCache>
                <c:formatCode>yyyy\-mm\-dd</c:formatCode>
                <c:ptCount val="132"/>
                <c:pt idx="0">
                  <c:v>6941</c:v>
                </c:pt>
                <c:pt idx="1">
                  <c:v>6972</c:v>
                </c:pt>
                <c:pt idx="2">
                  <c:v>7000</c:v>
                </c:pt>
                <c:pt idx="3">
                  <c:v>7031</c:v>
                </c:pt>
                <c:pt idx="4">
                  <c:v>7061</c:v>
                </c:pt>
                <c:pt idx="5">
                  <c:v>7092</c:v>
                </c:pt>
                <c:pt idx="6">
                  <c:v>7122</c:v>
                </c:pt>
                <c:pt idx="7">
                  <c:v>7153</c:v>
                </c:pt>
                <c:pt idx="8">
                  <c:v>7184</c:v>
                </c:pt>
                <c:pt idx="9">
                  <c:v>7214</c:v>
                </c:pt>
                <c:pt idx="10">
                  <c:v>7245</c:v>
                </c:pt>
                <c:pt idx="11">
                  <c:v>7275</c:v>
                </c:pt>
                <c:pt idx="12">
                  <c:v>7306</c:v>
                </c:pt>
                <c:pt idx="13">
                  <c:v>7337</c:v>
                </c:pt>
                <c:pt idx="14">
                  <c:v>7366</c:v>
                </c:pt>
                <c:pt idx="15">
                  <c:v>7397</c:v>
                </c:pt>
                <c:pt idx="16">
                  <c:v>7427</c:v>
                </c:pt>
                <c:pt idx="17">
                  <c:v>7458</c:v>
                </c:pt>
                <c:pt idx="18">
                  <c:v>7488</c:v>
                </c:pt>
                <c:pt idx="19">
                  <c:v>7519</c:v>
                </c:pt>
                <c:pt idx="20">
                  <c:v>7550</c:v>
                </c:pt>
                <c:pt idx="21">
                  <c:v>7580</c:v>
                </c:pt>
                <c:pt idx="22">
                  <c:v>7611</c:v>
                </c:pt>
                <c:pt idx="23">
                  <c:v>7641</c:v>
                </c:pt>
                <c:pt idx="24">
                  <c:v>7672</c:v>
                </c:pt>
                <c:pt idx="25">
                  <c:v>7703</c:v>
                </c:pt>
                <c:pt idx="26">
                  <c:v>7731</c:v>
                </c:pt>
                <c:pt idx="27">
                  <c:v>7762</c:v>
                </c:pt>
                <c:pt idx="28">
                  <c:v>7792</c:v>
                </c:pt>
                <c:pt idx="29">
                  <c:v>7823</c:v>
                </c:pt>
                <c:pt idx="30">
                  <c:v>7853</c:v>
                </c:pt>
                <c:pt idx="31">
                  <c:v>7884</c:v>
                </c:pt>
                <c:pt idx="32">
                  <c:v>7915</c:v>
                </c:pt>
                <c:pt idx="33">
                  <c:v>7945</c:v>
                </c:pt>
                <c:pt idx="34">
                  <c:v>7976</c:v>
                </c:pt>
                <c:pt idx="35">
                  <c:v>8006</c:v>
                </c:pt>
                <c:pt idx="36">
                  <c:v>8037</c:v>
                </c:pt>
                <c:pt idx="37">
                  <c:v>8068</c:v>
                </c:pt>
                <c:pt idx="38">
                  <c:v>8096</c:v>
                </c:pt>
                <c:pt idx="39">
                  <c:v>8127</c:v>
                </c:pt>
                <c:pt idx="40">
                  <c:v>8157</c:v>
                </c:pt>
                <c:pt idx="41">
                  <c:v>8188</c:v>
                </c:pt>
                <c:pt idx="42">
                  <c:v>8218</c:v>
                </c:pt>
                <c:pt idx="43">
                  <c:v>8249</c:v>
                </c:pt>
                <c:pt idx="44">
                  <c:v>8280</c:v>
                </c:pt>
                <c:pt idx="45">
                  <c:v>8310</c:v>
                </c:pt>
                <c:pt idx="46">
                  <c:v>8341</c:v>
                </c:pt>
                <c:pt idx="47">
                  <c:v>8371</c:v>
                </c:pt>
                <c:pt idx="48">
                  <c:v>8402</c:v>
                </c:pt>
                <c:pt idx="49">
                  <c:v>8433</c:v>
                </c:pt>
                <c:pt idx="50">
                  <c:v>8461</c:v>
                </c:pt>
                <c:pt idx="51">
                  <c:v>8492</c:v>
                </c:pt>
                <c:pt idx="52">
                  <c:v>8522</c:v>
                </c:pt>
                <c:pt idx="53">
                  <c:v>8553</c:v>
                </c:pt>
                <c:pt idx="54">
                  <c:v>8583</c:v>
                </c:pt>
                <c:pt idx="55">
                  <c:v>8614</c:v>
                </c:pt>
                <c:pt idx="56">
                  <c:v>8645</c:v>
                </c:pt>
                <c:pt idx="57">
                  <c:v>8675</c:v>
                </c:pt>
                <c:pt idx="58">
                  <c:v>8706</c:v>
                </c:pt>
                <c:pt idx="59">
                  <c:v>8736</c:v>
                </c:pt>
                <c:pt idx="60">
                  <c:v>8767</c:v>
                </c:pt>
                <c:pt idx="61">
                  <c:v>8798</c:v>
                </c:pt>
                <c:pt idx="62">
                  <c:v>8827</c:v>
                </c:pt>
                <c:pt idx="63">
                  <c:v>8858</c:v>
                </c:pt>
                <c:pt idx="64">
                  <c:v>8888</c:v>
                </c:pt>
                <c:pt idx="65">
                  <c:v>8919</c:v>
                </c:pt>
                <c:pt idx="66">
                  <c:v>8949</c:v>
                </c:pt>
                <c:pt idx="67">
                  <c:v>8980</c:v>
                </c:pt>
                <c:pt idx="68">
                  <c:v>9011</c:v>
                </c:pt>
                <c:pt idx="69">
                  <c:v>9041</c:v>
                </c:pt>
                <c:pt idx="70">
                  <c:v>9072</c:v>
                </c:pt>
                <c:pt idx="71">
                  <c:v>9102</c:v>
                </c:pt>
                <c:pt idx="72">
                  <c:v>9133</c:v>
                </c:pt>
                <c:pt idx="73">
                  <c:v>9164</c:v>
                </c:pt>
                <c:pt idx="74">
                  <c:v>9192</c:v>
                </c:pt>
                <c:pt idx="75">
                  <c:v>9223</c:v>
                </c:pt>
                <c:pt idx="76">
                  <c:v>9253</c:v>
                </c:pt>
                <c:pt idx="77">
                  <c:v>9284</c:v>
                </c:pt>
                <c:pt idx="78">
                  <c:v>9314</c:v>
                </c:pt>
                <c:pt idx="79">
                  <c:v>9345</c:v>
                </c:pt>
                <c:pt idx="80">
                  <c:v>9376</c:v>
                </c:pt>
                <c:pt idx="81">
                  <c:v>9406</c:v>
                </c:pt>
                <c:pt idx="82">
                  <c:v>9437</c:v>
                </c:pt>
                <c:pt idx="83">
                  <c:v>9467</c:v>
                </c:pt>
                <c:pt idx="84">
                  <c:v>9498</c:v>
                </c:pt>
                <c:pt idx="85">
                  <c:v>9529</c:v>
                </c:pt>
                <c:pt idx="86">
                  <c:v>9557</c:v>
                </c:pt>
                <c:pt idx="87">
                  <c:v>9588</c:v>
                </c:pt>
                <c:pt idx="88">
                  <c:v>9618</c:v>
                </c:pt>
                <c:pt idx="89">
                  <c:v>9649</c:v>
                </c:pt>
                <c:pt idx="90">
                  <c:v>9679</c:v>
                </c:pt>
                <c:pt idx="91">
                  <c:v>9710</c:v>
                </c:pt>
                <c:pt idx="92">
                  <c:v>9741</c:v>
                </c:pt>
                <c:pt idx="93">
                  <c:v>9771</c:v>
                </c:pt>
                <c:pt idx="94">
                  <c:v>9802</c:v>
                </c:pt>
                <c:pt idx="95">
                  <c:v>9832</c:v>
                </c:pt>
                <c:pt idx="96">
                  <c:v>9863</c:v>
                </c:pt>
                <c:pt idx="97">
                  <c:v>9894</c:v>
                </c:pt>
                <c:pt idx="98">
                  <c:v>9922</c:v>
                </c:pt>
                <c:pt idx="99">
                  <c:v>9953</c:v>
                </c:pt>
                <c:pt idx="100">
                  <c:v>9983</c:v>
                </c:pt>
                <c:pt idx="101">
                  <c:v>10014</c:v>
                </c:pt>
                <c:pt idx="102">
                  <c:v>10044</c:v>
                </c:pt>
                <c:pt idx="103">
                  <c:v>10075</c:v>
                </c:pt>
                <c:pt idx="104">
                  <c:v>10106</c:v>
                </c:pt>
                <c:pt idx="105">
                  <c:v>10136</c:v>
                </c:pt>
                <c:pt idx="106">
                  <c:v>10167</c:v>
                </c:pt>
                <c:pt idx="107">
                  <c:v>10197</c:v>
                </c:pt>
                <c:pt idx="108">
                  <c:v>10228</c:v>
                </c:pt>
                <c:pt idx="109">
                  <c:v>10259</c:v>
                </c:pt>
                <c:pt idx="110">
                  <c:v>10288</c:v>
                </c:pt>
                <c:pt idx="111">
                  <c:v>10319</c:v>
                </c:pt>
                <c:pt idx="112">
                  <c:v>10349</c:v>
                </c:pt>
                <c:pt idx="113">
                  <c:v>10380</c:v>
                </c:pt>
                <c:pt idx="114">
                  <c:v>10410</c:v>
                </c:pt>
                <c:pt idx="115">
                  <c:v>10441</c:v>
                </c:pt>
                <c:pt idx="116">
                  <c:v>10472</c:v>
                </c:pt>
                <c:pt idx="117">
                  <c:v>10502</c:v>
                </c:pt>
                <c:pt idx="118">
                  <c:v>10533</c:v>
                </c:pt>
                <c:pt idx="119">
                  <c:v>10563</c:v>
                </c:pt>
                <c:pt idx="120">
                  <c:v>10594</c:v>
                </c:pt>
                <c:pt idx="121">
                  <c:v>10625</c:v>
                </c:pt>
                <c:pt idx="122">
                  <c:v>10653</c:v>
                </c:pt>
                <c:pt idx="123">
                  <c:v>10684</c:v>
                </c:pt>
                <c:pt idx="124">
                  <c:v>10714</c:v>
                </c:pt>
                <c:pt idx="125">
                  <c:v>10745</c:v>
                </c:pt>
                <c:pt idx="126">
                  <c:v>10775</c:v>
                </c:pt>
                <c:pt idx="127">
                  <c:v>10806</c:v>
                </c:pt>
                <c:pt idx="128">
                  <c:v>10837</c:v>
                </c:pt>
                <c:pt idx="129">
                  <c:v>10867</c:v>
                </c:pt>
                <c:pt idx="130">
                  <c:v>10898</c:v>
                </c:pt>
                <c:pt idx="131">
                  <c:v>10928</c:v>
                </c:pt>
              </c:numCache>
            </c:numRef>
          </c:cat>
          <c:val>
            <c:numRef>
              <c:f>'60 percent elasticity of GNP'!$C$12:$C$143</c:f>
              <c:numCache>
                <c:formatCode>0.0000</c:formatCode>
                <c:ptCount val="132"/>
                <c:pt idx="0">
                  <c:v>1.5806679989379866</c:v>
                </c:pt>
                <c:pt idx="1">
                  <c:v>1.5354683922339261</c:v>
                </c:pt>
                <c:pt idx="2">
                  <c:v>1.5061197541882392</c:v>
                </c:pt>
                <c:pt idx="3">
                  <c:v>1.5238364501383743</c:v>
                </c:pt>
                <c:pt idx="4">
                  <c:v>1.5296585034277608</c:v>
                </c:pt>
                <c:pt idx="5">
                  <c:v>1.5916608323314194</c:v>
                </c:pt>
                <c:pt idx="6">
                  <c:v>1.6500230789128085</c:v>
                </c:pt>
                <c:pt idx="7">
                  <c:v>1.6653644567231076</c:v>
                </c:pt>
                <c:pt idx="8">
                  <c:v>1.6448629696522945</c:v>
                </c:pt>
                <c:pt idx="9">
                  <c:v>1.6344426714236664</c:v>
                </c:pt>
                <c:pt idx="10">
                  <c:v>1.6186156676998666</c:v>
                </c:pt>
                <c:pt idx="11">
                  <c:v>1.6344426714236664</c:v>
                </c:pt>
                <c:pt idx="12">
                  <c:v>1.7244972421688873</c:v>
                </c:pt>
                <c:pt idx="13">
                  <c:v>1.7244972421688873</c:v>
                </c:pt>
                <c:pt idx="14">
                  <c:v>1.7051843606958648</c:v>
                </c:pt>
                <c:pt idx="15">
                  <c:v>1.6500230789128085</c:v>
                </c:pt>
                <c:pt idx="16">
                  <c:v>1.6754690690368932</c:v>
                </c:pt>
                <c:pt idx="17">
                  <c:v>1.6854725987100978</c:v>
                </c:pt>
                <c:pt idx="18">
                  <c:v>1.660283106439669</c:v>
                </c:pt>
                <c:pt idx="19">
                  <c:v>1.6653644567231076</c:v>
                </c:pt>
                <c:pt idx="20">
                  <c:v>1.6291817144706968</c:v>
                </c:pt>
                <c:pt idx="21">
                  <c:v>1.586169285494746</c:v>
                </c:pt>
                <c:pt idx="22">
                  <c:v>1.5001586172689378</c:v>
                </c:pt>
                <c:pt idx="23">
                  <c:v>1.4384123153819974</c:v>
                </c:pt>
                <c:pt idx="24">
                  <c:v>1.3793704460470664</c:v>
                </c:pt>
                <c:pt idx="25">
                  <c:v>1.3588974702629395</c:v>
                </c:pt>
                <c:pt idx="26">
                  <c:v>1.330913777767085</c:v>
                </c:pt>
                <c:pt idx="27">
                  <c:v>1.330913777767085</c:v>
                </c:pt>
                <c:pt idx="28">
                  <c:v>1.3588974702629395</c:v>
                </c:pt>
                <c:pt idx="29">
                  <c:v>1.3519875549258953</c:v>
                </c:pt>
                <c:pt idx="30">
                  <c:v>1.3450035067020099</c:v>
                </c:pt>
                <c:pt idx="31">
                  <c:v>1.3793704460470664</c:v>
                </c:pt>
                <c:pt idx="32">
                  <c:v>1.3861193458056038</c:v>
                </c:pt>
                <c:pt idx="33">
                  <c:v>1.4447519306914594</c:v>
                </c:pt>
                <c:pt idx="34">
                  <c:v>1.4320322527937444</c:v>
                </c:pt>
                <c:pt idx="35">
                  <c:v>1.425587187057598</c:v>
                </c:pt>
                <c:pt idx="36">
                  <c:v>1.4635794238294326</c:v>
                </c:pt>
                <c:pt idx="37">
                  <c:v>1.5061419308251531</c:v>
                </c:pt>
                <c:pt idx="38">
                  <c:v>1.5583130249179482</c:v>
                </c:pt>
                <c:pt idx="39">
                  <c:v>1.5238364501383743</c:v>
                </c:pt>
                <c:pt idx="40">
                  <c:v>1.5751155825885279</c:v>
                </c:pt>
                <c:pt idx="41">
                  <c:v>1.6239126461884119</c:v>
                </c:pt>
                <c:pt idx="42">
                  <c:v>1.6239126461884119</c:v>
                </c:pt>
                <c:pt idx="43">
                  <c:v>1.6025139973612761</c:v>
                </c:pt>
                <c:pt idx="44">
                  <c:v>1.6551758041079541</c:v>
                </c:pt>
                <c:pt idx="45">
                  <c:v>1.7100431396080653</c:v>
                </c:pt>
                <c:pt idx="46">
                  <c:v>1.7528107190894804</c:v>
                </c:pt>
                <c:pt idx="47">
                  <c:v>1.780327708265635</c:v>
                </c:pt>
                <c:pt idx="48">
                  <c:v>1.7574440388129347</c:v>
                </c:pt>
                <c:pt idx="49">
                  <c:v>1.7712335804413293</c:v>
                </c:pt>
                <c:pt idx="50">
                  <c:v>1.8026994092663893</c:v>
                </c:pt>
                <c:pt idx="51">
                  <c:v>1.8245815495952817</c:v>
                </c:pt>
                <c:pt idx="52">
                  <c:v>1.8374814392365022</c:v>
                </c:pt>
                <c:pt idx="53">
                  <c:v>1.8289107348588478</c:v>
                </c:pt>
                <c:pt idx="54">
                  <c:v>1.8202497396276824</c:v>
                </c:pt>
                <c:pt idx="55">
                  <c:v>1.8026994092663893</c:v>
                </c:pt>
                <c:pt idx="56">
                  <c:v>1.780327708265635</c:v>
                </c:pt>
                <c:pt idx="57">
                  <c:v>1.7757994496493257</c:v>
                </c:pt>
                <c:pt idx="58">
                  <c:v>1.7757994496493257</c:v>
                </c:pt>
                <c:pt idx="59">
                  <c:v>1.7528107190894804</c:v>
                </c:pt>
                <c:pt idx="60">
                  <c:v>1.7757994496493257</c:v>
                </c:pt>
                <c:pt idx="61">
                  <c:v>1.7938073708453552</c:v>
                </c:pt>
                <c:pt idx="62">
                  <c:v>1.7757994496493257</c:v>
                </c:pt>
                <c:pt idx="63">
                  <c:v>1.743461683820303</c:v>
                </c:pt>
                <c:pt idx="64">
                  <c:v>1.7002835957336768</c:v>
                </c:pt>
                <c:pt idx="65">
                  <c:v>1.6551566980790462</c:v>
                </c:pt>
                <c:pt idx="66">
                  <c:v>1.6396566910180972</c:v>
                </c:pt>
                <c:pt idx="67">
                  <c:v>1.6754690690368932</c:v>
                </c:pt>
                <c:pt idx="68">
                  <c:v>1.7100431396080653</c:v>
                </c:pt>
                <c:pt idx="69">
                  <c:v>1.7340244185768168</c:v>
                </c:pt>
                <c:pt idx="70">
                  <c:v>1.7528107190894804</c:v>
                </c:pt>
                <c:pt idx="71">
                  <c:v>1.780327708265635</c:v>
                </c:pt>
                <c:pt idx="72">
                  <c:v>1.8115130757148914</c:v>
                </c:pt>
                <c:pt idx="73">
                  <c:v>1.8115130757148914</c:v>
                </c:pt>
                <c:pt idx="74">
                  <c:v>1.8115130757148914</c:v>
                </c:pt>
                <c:pt idx="75">
                  <c:v>1.8202497396276824</c:v>
                </c:pt>
                <c:pt idx="76">
                  <c:v>1.8158828141252585</c:v>
                </c:pt>
                <c:pt idx="77">
                  <c:v>1.8071241588552918</c:v>
                </c:pt>
                <c:pt idx="78">
                  <c:v>1.8332052691412624</c:v>
                </c:pt>
                <c:pt idx="79">
                  <c:v>1.8158828141252585</c:v>
                </c:pt>
                <c:pt idx="80">
                  <c:v>1.8026994092663893</c:v>
                </c:pt>
                <c:pt idx="81">
                  <c:v>1.8417552555492946</c:v>
                </c:pt>
                <c:pt idx="82">
                  <c:v>1.8628080041681361</c:v>
                </c:pt>
                <c:pt idx="83">
                  <c:v>1.875227074469318</c:v>
                </c:pt>
                <c:pt idx="84">
                  <c:v>1.8586234094815621</c:v>
                </c:pt>
                <c:pt idx="85">
                  <c:v>1.8586234094815621</c:v>
                </c:pt>
                <c:pt idx="86">
                  <c:v>1.8711096294536504</c:v>
                </c:pt>
                <c:pt idx="87">
                  <c:v>1.8711096294536504</c:v>
                </c:pt>
                <c:pt idx="88">
                  <c:v>1.8628080041681361</c:v>
                </c:pt>
                <c:pt idx="89">
                  <c:v>1.875227074469318</c:v>
                </c:pt>
                <c:pt idx="90">
                  <c:v>1.8793276356261337</c:v>
                </c:pt>
                <c:pt idx="91">
                  <c:v>1.8915595543052319</c:v>
                </c:pt>
                <c:pt idx="92">
                  <c:v>1.9076147219785229</c:v>
                </c:pt>
                <c:pt idx="93">
                  <c:v>1.9076147219785229</c:v>
                </c:pt>
                <c:pt idx="94">
                  <c:v>1.9036287567987071</c:v>
                </c:pt>
                <c:pt idx="95">
                  <c:v>1.899626840097062</c:v>
                </c:pt>
                <c:pt idx="96">
                  <c:v>1.8955938208898349</c:v>
                </c:pt>
                <c:pt idx="97">
                  <c:v>1.9036287567987071</c:v>
                </c:pt>
                <c:pt idx="98">
                  <c:v>1.9155540290404141</c:v>
                </c:pt>
                <c:pt idx="99">
                  <c:v>1.8915595543052319</c:v>
                </c:pt>
                <c:pt idx="100">
                  <c:v>1.899626840097062</c:v>
                </c:pt>
                <c:pt idx="101">
                  <c:v>1.8955938208898349</c:v>
                </c:pt>
                <c:pt idx="102">
                  <c:v>1.8834266577538787</c:v>
                </c:pt>
                <c:pt idx="103">
                  <c:v>1.8834266577538787</c:v>
                </c:pt>
                <c:pt idx="104">
                  <c:v>1.8669597017909902</c:v>
                </c:pt>
                <c:pt idx="105">
                  <c:v>1.845995097369729</c:v>
                </c:pt>
                <c:pt idx="106">
                  <c:v>1.845995097369729</c:v>
                </c:pt>
                <c:pt idx="107">
                  <c:v>1.850232758980406</c:v>
                </c:pt>
                <c:pt idx="108">
                  <c:v>1.8711096294536504</c:v>
                </c:pt>
                <c:pt idx="109">
                  <c:v>1.8793276356261337</c:v>
                </c:pt>
                <c:pt idx="110">
                  <c:v>1.887493801491249</c:v>
                </c:pt>
                <c:pt idx="111">
                  <c:v>1.8834266577538787</c:v>
                </c:pt>
                <c:pt idx="112">
                  <c:v>1.8955938208898349</c:v>
                </c:pt>
                <c:pt idx="113">
                  <c:v>1.9036287567987071</c:v>
                </c:pt>
                <c:pt idx="114">
                  <c:v>1.9155540290404141</c:v>
                </c:pt>
                <c:pt idx="115">
                  <c:v>1.9351236115359252</c:v>
                </c:pt>
                <c:pt idx="116">
                  <c:v>1.9428483235909111</c:v>
                </c:pt>
                <c:pt idx="117">
                  <c:v>1.9618959778247922</c:v>
                </c:pt>
                <c:pt idx="118">
                  <c:v>1.9805875901271444</c:v>
                </c:pt>
                <c:pt idx="119">
                  <c:v>1.9989362270201858</c:v>
                </c:pt>
                <c:pt idx="120">
                  <c:v>2.0133818641703258</c:v>
                </c:pt>
                <c:pt idx="121">
                  <c:v>2.0097832702920355</c:v>
                </c:pt>
                <c:pt idx="122">
                  <c:v>2.0133818641703258</c:v>
                </c:pt>
                <c:pt idx="123">
                  <c:v>2.0311437562720838</c:v>
                </c:pt>
                <c:pt idx="124">
                  <c:v>2.0485956615087346</c:v>
                </c:pt>
                <c:pt idx="125">
                  <c:v>2.0554945885163622</c:v>
                </c:pt>
                <c:pt idx="126">
                  <c:v>2.0691386486839387</c:v>
                </c:pt>
                <c:pt idx="127">
                  <c:v>2.0589199059590393</c:v>
                </c:pt>
                <c:pt idx="128">
                  <c:v>2.0520446508228849</c:v>
                </c:pt>
                <c:pt idx="129">
                  <c:v>2.034653358889702</c:v>
                </c:pt>
                <c:pt idx="130">
                  <c:v>1.9842788509984555</c:v>
                </c:pt>
                <c:pt idx="131">
                  <c:v>1.9390006188496092</c:v>
                </c:pt>
              </c:numCache>
            </c:numRef>
          </c:val>
          <c:smooth val="0"/>
          <c:extLst>
            <c:ext xmlns:c16="http://schemas.microsoft.com/office/drawing/2014/chart" uri="{C3380CC4-5D6E-409C-BE32-E72D297353CC}">
              <c16:uniqueId val="{00000000-2FE7-42C0-BCE3-37CC1A57A95C}"/>
            </c:ext>
          </c:extLst>
        </c:ser>
        <c:ser>
          <c:idx val="1"/>
          <c:order val="1"/>
          <c:tx>
            <c:v>Log of Potential IP</c:v>
          </c:tx>
          <c:spPr>
            <a:ln w="28575" cap="rnd">
              <a:solidFill>
                <a:schemeClr val="accent2"/>
              </a:solidFill>
              <a:round/>
            </a:ln>
            <a:effectLst/>
          </c:spPr>
          <c:marker>
            <c:symbol val="none"/>
          </c:marker>
          <c:val>
            <c:numRef>
              <c:f>'60 percent elasticity of GNP'!$G$12:$G$143</c:f>
              <c:numCache>
                <c:formatCode>0.0000</c:formatCode>
                <c:ptCount val="132"/>
                <c:pt idx="0">
                  <c:v>1.688221959999999</c:v>
                </c:pt>
                <c:pt idx="1">
                  <c:v>1.6912451299999991</c:v>
                </c:pt>
                <c:pt idx="2">
                  <c:v>1.6942682999999992</c:v>
                </c:pt>
                <c:pt idx="3">
                  <c:v>1.6972914699999992</c:v>
                </c:pt>
                <c:pt idx="4">
                  <c:v>1.7003146399999993</c:v>
                </c:pt>
                <c:pt idx="5">
                  <c:v>1.7033378099999994</c:v>
                </c:pt>
                <c:pt idx="6">
                  <c:v>1.7063609799999995</c:v>
                </c:pt>
                <c:pt idx="7">
                  <c:v>1.7093841499999995</c:v>
                </c:pt>
                <c:pt idx="8">
                  <c:v>1.7124073199999996</c:v>
                </c:pt>
                <c:pt idx="9">
                  <c:v>1.7154304899999997</c:v>
                </c:pt>
                <c:pt idx="10">
                  <c:v>1.7184536599999998</c:v>
                </c:pt>
                <c:pt idx="11">
                  <c:v>1.7214768299999998</c:v>
                </c:pt>
                <c:pt idx="12">
                  <c:v>1.7244999999999999</c:v>
                </c:pt>
                <c:pt idx="13">
                  <c:v>1.72752317</c:v>
                </c:pt>
                <c:pt idx="14">
                  <c:v>1.7305463400000001</c:v>
                </c:pt>
                <c:pt idx="15">
                  <c:v>1.7335695100000001</c:v>
                </c:pt>
                <c:pt idx="16">
                  <c:v>1.7365926800000002</c:v>
                </c:pt>
                <c:pt idx="17">
                  <c:v>1.7396158500000003</c:v>
                </c:pt>
                <c:pt idx="18">
                  <c:v>1.7426390200000004</c:v>
                </c:pt>
                <c:pt idx="19">
                  <c:v>1.7456621900000004</c:v>
                </c:pt>
                <c:pt idx="20">
                  <c:v>1.7486853600000005</c:v>
                </c:pt>
                <c:pt idx="21">
                  <c:v>1.7517085300000006</c:v>
                </c:pt>
                <c:pt idx="22">
                  <c:v>1.7547317000000007</c:v>
                </c:pt>
                <c:pt idx="23">
                  <c:v>1.7577548700000007</c:v>
                </c:pt>
                <c:pt idx="24">
                  <c:v>1.7607780400000008</c:v>
                </c:pt>
                <c:pt idx="25">
                  <c:v>1.7638012100000009</c:v>
                </c:pt>
                <c:pt idx="26">
                  <c:v>1.766824380000001</c:v>
                </c:pt>
                <c:pt idx="27">
                  <c:v>1.769847550000001</c:v>
                </c:pt>
                <c:pt idx="28">
                  <c:v>1.7728707200000011</c:v>
                </c:pt>
                <c:pt idx="29">
                  <c:v>1.7758938900000012</c:v>
                </c:pt>
                <c:pt idx="30">
                  <c:v>1.7789170600000013</c:v>
                </c:pt>
                <c:pt idx="31">
                  <c:v>1.7819402300000013</c:v>
                </c:pt>
                <c:pt idx="32">
                  <c:v>1.7849634000000014</c:v>
                </c:pt>
                <c:pt idx="33">
                  <c:v>1.7879865700000015</c:v>
                </c:pt>
                <c:pt idx="34">
                  <c:v>1.7910097400000016</c:v>
                </c:pt>
                <c:pt idx="35">
                  <c:v>1.7940329100000016</c:v>
                </c:pt>
                <c:pt idx="36">
                  <c:v>1.7970560800000017</c:v>
                </c:pt>
                <c:pt idx="37">
                  <c:v>1.8000792500000018</c:v>
                </c:pt>
                <c:pt idx="38">
                  <c:v>1.8031024200000019</c:v>
                </c:pt>
                <c:pt idx="39">
                  <c:v>1.8061255900000019</c:v>
                </c:pt>
                <c:pt idx="40">
                  <c:v>1.809148760000002</c:v>
                </c:pt>
                <c:pt idx="41">
                  <c:v>1.8121719300000021</c:v>
                </c:pt>
                <c:pt idx="42">
                  <c:v>1.8151951000000022</c:v>
                </c:pt>
                <c:pt idx="43">
                  <c:v>1.8182182700000022</c:v>
                </c:pt>
                <c:pt idx="44">
                  <c:v>1.8212414400000023</c:v>
                </c:pt>
                <c:pt idx="45">
                  <c:v>1.8242646100000024</c:v>
                </c:pt>
                <c:pt idx="46">
                  <c:v>1.8272877800000025</c:v>
                </c:pt>
                <c:pt idx="47">
                  <c:v>1.8303109500000025</c:v>
                </c:pt>
                <c:pt idx="48">
                  <c:v>1.8333341200000026</c:v>
                </c:pt>
                <c:pt idx="49">
                  <c:v>1.8363572900000027</c:v>
                </c:pt>
                <c:pt idx="50">
                  <c:v>1.8393804600000028</c:v>
                </c:pt>
                <c:pt idx="51">
                  <c:v>1.8424036300000028</c:v>
                </c:pt>
                <c:pt idx="52">
                  <c:v>1.8454268000000029</c:v>
                </c:pt>
                <c:pt idx="53">
                  <c:v>1.848449970000003</c:v>
                </c:pt>
                <c:pt idx="54">
                  <c:v>1.8514731400000031</c:v>
                </c:pt>
                <c:pt idx="55">
                  <c:v>1.8544963100000031</c:v>
                </c:pt>
                <c:pt idx="56">
                  <c:v>1.8575194800000032</c:v>
                </c:pt>
                <c:pt idx="57">
                  <c:v>1.8605426500000033</c:v>
                </c:pt>
                <c:pt idx="58">
                  <c:v>1.8635658200000034</c:v>
                </c:pt>
                <c:pt idx="59">
                  <c:v>1.8665889900000034</c:v>
                </c:pt>
                <c:pt idx="60">
                  <c:v>1.8696121600000035</c:v>
                </c:pt>
                <c:pt idx="61">
                  <c:v>1.8726353300000036</c:v>
                </c:pt>
                <c:pt idx="62">
                  <c:v>1.8756585000000037</c:v>
                </c:pt>
                <c:pt idx="63">
                  <c:v>1.8786816700000037</c:v>
                </c:pt>
                <c:pt idx="64">
                  <c:v>1.8817048400000038</c:v>
                </c:pt>
                <c:pt idx="65">
                  <c:v>1.8847280100000039</c:v>
                </c:pt>
                <c:pt idx="66">
                  <c:v>1.887751180000004</c:v>
                </c:pt>
                <c:pt idx="67">
                  <c:v>1.890774350000004</c:v>
                </c:pt>
                <c:pt idx="68">
                  <c:v>1.8937975200000041</c:v>
                </c:pt>
                <c:pt idx="69">
                  <c:v>1.8968206900000042</c:v>
                </c:pt>
                <c:pt idx="70">
                  <c:v>1.8998438600000043</c:v>
                </c:pt>
                <c:pt idx="71">
                  <c:v>1.9028670300000043</c:v>
                </c:pt>
                <c:pt idx="72">
                  <c:v>1.9058902000000044</c:v>
                </c:pt>
                <c:pt idx="73">
                  <c:v>1.9089133700000045</c:v>
                </c:pt>
                <c:pt idx="74">
                  <c:v>1.9119365400000046</c:v>
                </c:pt>
                <c:pt idx="75">
                  <c:v>1.9149597100000046</c:v>
                </c:pt>
                <c:pt idx="76">
                  <c:v>1.9179828800000047</c:v>
                </c:pt>
                <c:pt idx="77">
                  <c:v>1.9210060500000048</c:v>
                </c:pt>
                <c:pt idx="78">
                  <c:v>1.9240292200000049</c:v>
                </c:pt>
                <c:pt idx="79">
                  <c:v>1.9270523900000049</c:v>
                </c:pt>
                <c:pt idx="80">
                  <c:v>1.930075560000005</c:v>
                </c:pt>
                <c:pt idx="81">
                  <c:v>1.9330987300000051</c:v>
                </c:pt>
                <c:pt idx="82">
                  <c:v>1.9361219000000052</c:v>
                </c:pt>
                <c:pt idx="83">
                  <c:v>1.9391450700000052</c:v>
                </c:pt>
                <c:pt idx="84">
                  <c:v>1.9421682400000053</c:v>
                </c:pt>
                <c:pt idx="85">
                  <c:v>1.9451914100000054</c:v>
                </c:pt>
                <c:pt idx="86">
                  <c:v>1.9482145800000055</c:v>
                </c:pt>
                <c:pt idx="87">
                  <c:v>1.9512377500000055</c:v>
                </c:pt>
                <c:pt idx="88">
                  <c:v>1.9542609200000056</c:v>
                </c:pt>
                <c:pt idx="89">
                  <c:v>1.9572840900000057</c:v>
                </c:pt>
                <c:pt idx="90">
                  <c:v>1.9603072600000058</c:v>
                </c:pt>
                <c:pt idx="91">
                  <c:v>1.9633304300000058</c:v>
                </c:pt>
                <c:pt idx="92">
                  <c:v>1.9663536000000059</c:v>
                </c:pt>
                <c:pt idx="93">
                  <c:v>1.969376770000006</c:v>
                </c:pt>
                <c:pt idx="94">
                  <c:v>1.9723999400000061</c:v>
                </c:pt>
                <c:pt idx="95">
                  <c:v>1.9754231100000061</c:v>
                </c:pt>
                <c:pt idx="96">
                  <c:v>1.9784462800000062</c:v>
                </c:pt>
                <c:pt idx="97">
                  <c:v>1.9814694500000063</c:v>
                </c:pt>
                <c:pt idx="98">
                  <c:v>1.9844926200000064</c:v>
                </c:pt>
                <c:pt idx="99">
                  <c:v>1.9875157900000064</c:v>
                </c:pt>
                <c:pt idx="100">
                  <c:v>1.9905389600000065</c:v>
                </c:pt>
                <c:pt idx="101">
                  <c:v>1.9935621300000066</c:v>
                </c:pt>
                <c:pt idx="102">
                  <c:v>1.9965853000000067</c:v>
                </c:pt>
                <c:pt idx="103">
                  <c:v>1.9996084700000067</c:v>
                </c:pt>
                <c:pt idx="104">
                  <c:v>2.0026316400000068</c:v>
                </c:pt>
                <c:pt idx="105">
                  <c:v>2.0056548100000069</c:v>
                </c:pt>
                <c:pt idx="106">
                  <c:v>2.008677980000007</c:v>
                </c:pt>
                <c:pt idx="107">
                  <c:v>2.011701150000007</c:v>
                </c:pt>
                <c:pt idx="108">
                  <c:v>2.0147243200000071</c:v>
                </c:pt>
                <c:pt idx="109">
                  <c:v>2.0177474900000072</c:v>
                </c:pt>
                <c:pt idx="110">
                  <c:v>2.0207706600000073</c:v>
                </c:pt>
                <c:pt idx="111">
                  <c:v>2.0237938300000073</c:v>
                </c:pt>
                <c:pt idx="112">
                  <c:v>2.0268170000000074</c:v>
                </c:pt>
                <c:pt idx="113">
                  <c:v>2.0298401700000075</c:v>
                </c:pt>
                <c:pt idx="114">
                  <c:v>2.0328633400000076</c:v>
                </c:pt>
                <c:pt idx="115">
                  <c:v>2.0358865100000076</c:v>
                </c:pt>
                <c:pt idx="116">
                  <c:v>2.0389096800000077</c:v>
                </c:pt>
                <c:pt idx="117">
                  <c:v>2.0419328500000078</c:v>
                </c:pt>
                <c:pt idx="118">
                  <c:v>2.0449560200000079</c:v>
                </c:pt>
                <c:pt idx="119">
                  <c:v>2.0479791900000079</c:v>
                </c:pt>
                <c:pt idx="120">
                  <c:v>2.051002360000008</c:v>
                </c:pt>
                <c:pt idx="121">
                  <c:v>2.0540255300000081</c:v>
                </c:pt>
                <c:pt idx="122">
                  <c:v>2.0570487000000082</c:v>
                </c:pt>
                <c:pt idx="123">
                  <c:v>2.0600718700000082</c:v>
                </c:pt>
                <c:pt idx="124">
                  <c:v>2.0630950400000083</c:v>
                </c:pt>
                <c:pt idx="125">
                  <c:v>2.0661182100000084</c:v>
                </c:pt>
                <c:pt idx="126">
                  <c:v>2.0691413800000085</c:v>
                </c:pt>
                <c:pt idx="127">
                  <c:v>2.0721645500000085</c:v>
                </c:pt>
                <c:pt idx="128">
                  <c:v>2.0751877200000086</c:v>
                </c:pt>
                <c:pt idx="129">
                  <c:v>2.0782108900000087</c:v>
                </c:pt>
                <c:pt idx="130">
                  <c:v>2.0812340600000088</c:v>
                </c:pt>
                <c:pt idx="131">
                  <c:v>2.0842572300000088</c:v>
                </c:pt>
              </c:numCache>
            </c:numRef>
          </c:val>
          <c:smooth val="0"/>
          <c:extLst>
            <c:ext xmlns:c16="http://schemas.microsoft.com/office/drawing/2014/chart" uri="{C3380CC4-5D6E-409C-BE32-E72D297353CC}">
              <c16:uniqueId val="{00000001-2FE7-42C0-BCE3-37CC1A57A95C}"/>
            </c:ext>
          </c:extLst>
        </c:ser>
        <c:dLbls>
          <c:showLegendKey val="0"/>
          <c:showVal val="0"/>
          <c:showCatName val="0"/>
          <c:showSerName val="0"/>
          <c:showPercent val="0"/>
          <c:showBubbleSize val="0"/>
        </c:dLbls>
        <c:smooth val="0"/>
        <c:axId val="183214168"/>
        <c:axId val="183216520"/>
      </c:lineChart>
      <c:dateAx>
        <c:axId val="183214168"/>
        <c:scaling>
          <c:orientation val="minMax"/>
        </c:scaling>
        <c:delete val="0"/>
        <c:axPos val="b"/>
        <c:numFmt formatCode="yyyy\-mm\-d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16520"/>
        <c:crosses val="autoZero"/>
        <c:auto val="1"/>
        <c:lblOffset val="100"/>
        <c:baseTimeUnit val="months"/>
      </c:dateAx>
      <c:valAx>
        <c:axId val="183216520"/>
        <c:scaling>
          <c:orientation val="minMax"/>
          <c:min val="1.2"/>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14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4: Output</a:t>
            </a:r>
            <a:r>
              <a:rPr lang="en-US" baseline="0"/>
              <a:t> Gap Comparisons:</a:t>
            </a:r>
          </a:p>
          <a:p>
            <a:pPr>
              <a:defRPr sz="1400" b="0" i="0" u="none" strike="noStrike" kern="1200" spc="0" baseline="0">
                <a:solidFill>
                  <a:schemeClr val="tx1">
                    <a:lumMod val="65000"/>
                    <a:lumOff val="35000"/>
                  </a:schemeClr>
                </a:solidFill>
                <a:latin typeface="+mn-lt"/>
                <a:ea typeface="+mn-ea"/>
                <a:cs typeface="+mn-cs"/>
              </a:defRPr>
            </a:pPr>
            <a:r>
              <a:rPr lang="en-US" baseline="0"/>
              <a:t>Estimates based on annual GNP and monthly Industrial Production data (see text)</a:t>
            </a:r>
            <a:endParaRPr lang="en-US"/>
          </a:p>
        </c:rich>
      </c:tx>
      <c:overlay val="0"/>
      <c:spPr>
        <a:noFill/>
        <a:ln>
          <a:noFill/>
        </a:ln>
        <a:effectLst/>
      </c:spPr>
    </c:title>
    <c:autoTitleDeleted val="0"/>
    <c:plotArea>
      <c:layout>
        <c:manualLayout>
          <c:layoutTarget val="inner"/>
          <c:xMode val="edge"/>
          <c:yMode val="edge"/>
          <c:x val="0.10742825896762905"/>
          <c:y val="0.17171296296296298"/>
          <c:w val="0.85090507436570428"/>
          <c:h val="0.6714577865266842"/>
        </c:manualLayout>
      </c:layout>
      <c:lineChart>
        <c:grouping val="standard"/>
        <c:varyColors val="0"/>
        <c:ser>
          <c:idx val="0"/>
          <c:order val="0"/>
          <c:tx>
            <c:v>Based on Monthly Industrial Production Data</c:v>
          </c:tx>
          <c:spPr>
            <a:ln w="28575" cap="rnd">
              <a:solidFill>
                <a:schemeClr val="accent1"/>
              </a:solidFill>
              <a:round/>
            </a:ln>
            <a:effectLst/>
          </c:spPr>
          <c:marker>
            <c:symbol val="none"/>
          </c:marker>
          <c:cat>
            <c:numRef>
              <c:f>'FRED Graph'!$A$12:$A$143</c:f>
              <c:numCache>
                <c:formatCode>yyyy\-mm\-dd</c:formatCode>
                <c:ptCount val="132"/>
                <c:pt idx="0">
                  <c:v>6941</c:v>
                </c:pt>
                <c:pt idx="1">
                  <c:v>6972</c:v>
                </c:pt>
                <c:pt idx="2">
                  <c:v>7000</c:v>
                </c:pt>
                <c:pt idx="3">
                  <c:v>7031</c:v>
                </c:pt>
                <c:pt idx="4">
                  <c:v>7061</c:v>
                </c:pt>
                <c:pt idx="5">
                  <c:v>7092</c:v>
                </c:pt>
                <c:pt idx="6">
                  <c:v>7122</c:v>
                </c:pt>
                <c:pt idx="7">
                  <c:v>7153</c:v>
                </c:pt>
                <c:pt idx="8">
                  <c:v>7184</c:v>
                </c:pt>
                <c:pt idx="9">
                  <c:v>7214</c:v>
                </c:pt>
                <c:pt idx="10">
                  <c:v>7245</c:v>
                </c:pt>
                <c:pt idx="11">
                  <c:v>7275</c:v>
                </c:pt>
                <c:pt idx="12">
                  <c:v>7306</c:v>
                </c:pt>
                <c:pt idx="13">
                  <c:v>7337</c:v>
                </c:pt>
                <c:pt idx="14">
                  <c:v>7366</c:v>
                </c:pt>
                <c:pt idx="15">
                  <c:v>7397</c:v>
                </c:pt>
                <c:pt idx="16">
                  <c:v>7427</c:v>
                </c:pt>
                <c:pt idx="17">
                  <c:v>7458</c:v>
                </c:pt>
                <c:pt idx="18">
                  <c:v>7488</c:v>
                </c:pt>
                <c:pt idx="19">
                  <c:v>7519</c:v>
                </c:pt>
                <c:pt idx="20">
                  <c:v>7550</c:v>
                </c:pt>
                <c:pt idx="21">
                  <c:v>7580</c:v>
                </c:pt>
                <c:pt idx="22">
                  <c:v>7611</c:v>
                </c:pt>
                <c:pt idx="23">
                  <c:v>7641</c:v>
                </c:pt>
                <c:pt idx="24">
                  <c:v>7672</c:v>
                </c:pt>
                <c:pt idx="25">
                  <c:v>7703</c:v>
                </c:pt>
                <c:pt idx="26">
                  <c:v>7731</c:v>
                </c:pt>
                <c:pt idx="27">
                  <c:v>7762</c:v>
                </c:pt>
                <c:pt idx="28">
                  <c:v>7792</c:v>
                </c:pt>
                <c:pt idx="29">
                  <c:v>7823</c:v>
                </c:pt>
                <c:pt idx="30">
                  <c:v>7853</c:v>
                </c:pt>
                <c:pt idx="31">
                  <c:v>7884</c:v>
                </c:pt>
                <c:pt idx="32">
                  <c:v>7915</c:v>
                </c:pt>
                <c:pt idx="33">
                  <c:v>7945</c:v>
                </c:pt>
                <c:pt idx="34">
                  <c:v>7976</c:v>
                </c:pt>
                <c:pt idx="35">
                  <c:v>8006</c:v>
                </c:pt>
                <c:pt idx="36">
                  <c:v>8037</c:v>
                </c:pt>
                <c:pt idx="37">
                  <c:v>8068</c:v>
                </c:pt>
                <c:pt idx="38">
                  <c:v>8096</c:v>
                </c:pt>
                <c:pt idx="39">
                  <c:v>8127</c:v>
                </c:pt>
                <c:pt idx="40">
                  <c:v>8157</c:v>
                </c:pt>
                <c:pt idx="41">
                  <c:v>8188</c:v>
                </c:pt>
                <c:pt idx="42">
                  <c:v>8218</c:v>
                </c:pt>
                <c:pt idx="43">
                  <c:v>8249</c:v>
                </c:pt>
                <c:pt idx="44">
                  <c:v>8280</c:v>
                </c:pt>
                <c:pt idx="45">
                  <c:v>8310</c:v>
                </c:pt>
                <c:pt idx="46">
                  <c:v>8341</c:v>
                </c:pt>
                <c:pt idx="47">
                  <c:v>8371</c:v>
                </c:pt>
                <c:pt idx="48">
                  <c:v>8402</c:v>
                </c:pt>
                <c:pt idx="49">
                  <c:v>8433</c:v>
                </c:pt>
                <c:pt idx="50">
                  <c:v>8461</c:v>
                </c:pt>
                <c:pt idx="51">
                  <c:v>8492</c:v>
                </c:pt>
                <c:pt idx="52">
                  <c:v>8522</c:v>
                </c:pt>
                <c:pt idx="53">
                  <c:v>8553</c:v>
                </c:pt>
                <c:pt idx="54">
                  <c:v>8583</c:v>
                </c:pt>
                <c:pt idx="55">
                  <c:v>8614</c:v>
                </c:pt>
                <c:pt idx="56">
                  <c:v>8645</c:v>
                </c:pt>
                <c:pt idx="57">
                  <c:v>8675</c:v>
                </c:pt>
                <c:pt idx="58">
                  <c:v>8706</c:v>
                </c:pt>
                <c:pt idx="59">
                  <c:v>8736</c:v>
                </c:pt>
                <c:pt idx="60">
                  <c:v>8767</c:v>
                </c:pt>
                <c:pt idx="61">
                  <c:v>8798</c:v>
                </c:pt>
                <c:pt idx="62">
                  <c:v>8827</c:v>
                </c:pt>
                <c:pt idx="63">
                  <c:v>8858</c:v>
                </c:pt>
                <c:pt idx="64">
                  <c:v>8888</c:v>
                </c:pt>
                <c:pt idx="65">
                  <c:v>8919</c:v>
                </c:pt>
                <c:pt idx="66">
                  <c:v>8949</c:v>
                </c:pt>
                <c:pt idx="67">
                  <c:v>8980</c:v>
                </c:pt>
                <c:pt idx="68">
                  <c:v>9011</c:v>
                </c:pt>
                <c:pt idx="69">
                  <c:v>9041</c:v>
                </c:pt>
                <c:pt idx="70">
                  <c:v>9072</c:v>
                </c:pt>
                <c:pt idx="71">
                  <c:v>9102</c:v>
                </c:pt>
                <c:pt idx="72">
                  <c:v>9133</c:v>
                </c:pt>
                <c:pt idx="73">
                  <c:v>9164</c:v>
                </c:pt>
                <c:pt idx="74">
                  <c:v>9192</c:v>
                </c:pt>
                <c:pt idx="75">
                  <c:v>9223</c:v>
                </c:pt>
                <c:pt idx="76">
                  <c:v>9253</c:v>
                </c:pt>
                <c:pt idx="77">
                  <c:v>9284</c:v>
                </c:pt>
                <c:pt idx="78">
                  <c:v>9314</c:v>
                </c:pt>
                <c:pt idx="79">
                  <c:v>9345</c:v>
                </c:pt>
                <c:pt idx="80">
                  <c:v>9376</c:v>
                </c:pt>
                <c:pt idx="81">
                  <c:v>9406</c:v>
                </c:pt>
                <c:pt idx="82">
                  <c:v>9437</c:v>
                </c:pt>
                <c:pt idx="83">
                  <c:v>9467</c:v>
                </c:pt>
                <c:pt idx="84">
                  <c:v>9498</c:v>
                </c:pt>
                <c:pt idx="85">
                  <c:v>9529</c:v>
                </c:pt>
                <c:pt idx="86">
                  <c:v>9557</c:v>
                </c:pt>
                <c:pt idx="87">
                  <c:v>9588</c:v>
                </c:pt>
                <c:pt idx="88">
                  <c:v>9618</c:v>
                </c:pt>
                <c:pt idx="89">
                  <c:v>9649</c:v>
                </c:pt>
                <c:pt idx="90">
                  <c:v>9679</c:v>
                </c:pt>
                <c:pt idx="91">
                  <c:v>9710</c:v>
                </c:pt>
                <c:pt idx="92">
                  <c:v>9741</c:v>
                </c:pt>
                <c:pt idx="93">
                  <c:v>9771</c:v>
                </c:pt>
                <c:pt idx="94">
                  <c:v>9802</c:v>
                </c:pt>
                <c:pt idx="95">
                  <c:v>9832</c:v>
                </c:pt>
                <c:pt idx="96">
                  <c:v>9863</c:v>
                </c:pt>
                <c:pt idx="97">
                  <c:v>9894</c:v>
                </c:pt>
                <c:pt idx="98">
                  <c:v>9922</c:v>
                </c:pt>
                <c:pt idx="99">
                  <c:v>9953</c:v>
                </c:pt>
                <c:pt idx="100">
                  <c:v>9983</c:v>
                </c:pt>
                <c:pt idx="101">
                  <c:v>10014</c:v>
                </c:pt>
                <c:pt idx="102">
                  <c:v>10044</c:v>
                </c:pt>
                <c:pt idx="103">
                  <c:v>10075</c:v>
                </c:pt>
                <c:pt idx="104">
                  <c:v>10106</c:v>
                </c:pt>
                <c:pt idx="105">
                  <c:v>10136</c:v>
                </c:pt>
                <c:pt idx="106">
                  <c:v>10167</c:v>
                </c:pt>
                <c:pt idx="107">
                  <c:v>10197</c:v>
                </c:pt>
                <c:pt idx="108">
                  <c:v>10228</c:v>
                </c:pt>
                <c:pt idx="109">
                  <c:v>10259</c:v>
                </c:pt>
                <c:pt idx="110">
                  <c:v>10288</c:v>
                </c:pt>
                <c:pt idx="111">
                  <c:v>10319</c:v>
                </c:pt>
                <c:pt idx="112">
                  <c:v>10349</c:v>
                </c:pt>
                <c:pt idx="113">
                  <c:v>10380</c:v>
                </c:pt>
                <c:pt idx="114">
                  <c:v>10410</c:v>
                </c:pt>
                <c:pt idx="115">
                  <c:v>10441</c:v>
                </c:pt>
                <c:pt idx="116">
                  <c:v>10472</c:v>
                </c:pt>
                <c:pt idx="117">
                  <c:v>10502</c:v>
                </c:pt>
                <c:pt idx="118">
                  <c:v>10533</c:v>
                </c:pt>
                <c:pt idx="119">
                  <c:v>10563</c:v>
                </c:pt>
                <c:pt idx="120">
                  <c:v>10594</c:v>
                </c:pt>
                <c:pt idx="121">
                  <c:v>10625</c:v>
                </c:pt>
                <c:pt idx="122">
                  <c:v>10653</c:v>
                </c:pt>
                <c:pt idx="123">
                  <c:v>10684</c:v>
                </c:pt>
                <c:pt idx="124">
                  <c:v>10714</c:v>
                </c:pt>
                <c:pt idx="125">
                  <c:v>10745</c:v>
                </c:pt>
                <c:pt idx="126">
                  <c:v>10775</c:v>
                </c:pt>
                <c:pt idx="127">
                  <c:v>10806</c:v>
                </c:pt>
                <c:pt idx="128">
                  <c:v>10837</c:v>
                </c:pt>
                <c:pt idx="129">
                  <c:v>10867</c:v>
                </c:pt>
                <c:pt idx="130">
                  <c:v>10898</c:v>
                </c:pt>
                <c:pt idx="131">
                  <c:v>10928</c:v>
                </c:pt>
              </c:numCache>
            </c:numRef>
          </c:cat>
          <c:val>
            <c:numRef>
              <c:f>'FRED Graph'!$J$12:$J$142</c:f>
              <c:numCache>
                <c:formatCode>0.0000</c:formatCode>
                <c:ptCount val="131"/>
                <c:pt idx="0">
                  <c:v>-5.9154678584106841E-2</c:v>
                </c:pt>
                <c:pt idx="1">
                  <c:v>-8.5677205771340179E-2</c:v>
                </c:pt>
                <c:pt idx="2">
                  <c:v>-0.103481700196468</c:v>
                </c:pt>
                <c:pt idx="3">
                  <c:v>-9.5400260923893712E-2</c:v>
                </c:pt>
                <c:pt idx="4">
                  <c:v>-9.3860875114731207E-2</c:v>
                </c:pt>
                <c:pt idx="5">
                  <c:v>-6.1422337717718996E-2</c:v>
                </c:pt>
                <c:pt idx="6">
                  <c:v>-3.0985845597955024E-2</c:v>
                </c:pt>
                <c:pt idx="7">
                  <c:v>-2.4210831302290559E-2</c:v>
                </c:pt>
                <c:pt idx="8">
                  <c:v>-3.714939269123782E-2</c:v>
                </c:pt>
                <c:pt idx="9">
                  <c:v>-4.4543300216983321E-2</c:v>
                </c:pt>
                <c:pt idx="10">
                  <c:v>-5.4910895765073221E-2</c:v>
                </c:pt>
                <c:pt idx="11">
                  <c:v>-4.7868787216983406E-2</c:v>
                </c:pt>
                <c:pt idx="12">
                  <c:v>-1.5168071119231464E-6</c:v>
                </c:pt>
                <c:pt idx="13">
                  <c:v>-1.6642603071119644E-3</c:v>
                </c:pt>
                <c:pt idx="14">
                  <c:v>-1.3949088617274419E-2</c:v>
                </c:pt>
                <c:pt idx="15">
                  <c:v>-4.5950537097955393E-2</c:v>
                </c:pt>
                <c:pt idx="16">
                  <c:v>-3.361798602970887E-2</c:v>
                </c:pt>
                <c:pt idx="17">
                  <c:v>-2.9778788209446374E-2</c:v>
                </c:pt>
                <c:pt idx="18">
                  <c:v>-4.5295752458182244E-2</c:v>
                </c:pt>
                <c:pt idx="19">
                  <c:v>-4.416375330229106E-2</c:v>
                </c:pt>
                <c:pt idx="20">
                  <c:v>-6.5727005041117045E-2</c:v>
                </c:pt>
                <c:pt idx="21">
                  <c:v>-9.1046584477890033E-2</c:v>
                </c:pt>
                <c:pt idx="22">
                  <c:v>-0.14001519550208458</c:v>
                </c:pt>
                <c:pt idx="23">
                  <c:v>-0.17563840503990183</c:v>
                </c:pt>
                <c:pt idx="24">
                  <c:v>-0.20977417667411397</c:v>
                </c:pt>
                <c:pt idx="25">
                  <c:v>-0.2226970568553838</c:v>
                </c:pt>
                <c:pt idx="26">
                  <c:v>-0.23975083122810381</c:v>
                </c:pt>
                <c:pt idx="27">
                  <c:v>-0.24141357472810387</c:v>
                </c:pt>
                <c:pt idx="28">
                  <c:v>-0.2276852873553839</c:v>
                </c:pt>
                <c:pt idx="29">
                  <c:v>-0.23314848429075827</c:v>
                </c:pt>
                <c:pt idx="30">
                  <c:v>-0.23865245431389528</c:v>
                </c:pt>
                <c:pt idx="31">
                  <c:v>-0.22141338117411424</c:v>
                </c:pt>
                <c:pt idx="32">
                  <c:v>-0.21936422980691869</c:v>
                </c:pt>
                <c:pt idx="33">
                  <c:v>-0.18877905161969818</c:v>
                </c:pt>
                <c:pt idx="34">
                  <c:v>-0.19743761796344148</c:v>
                </c:pt>
                <c:pt idx="35">
                  <c:v>-0.202645147618322</c:v>
                </c:pt>
                <c:pt idx="36">
                  <c:v>-0.18341216089381301</c:v>
                </c:pt>
                <c:pt idx="37">
                  <c:v>-0.16166552554616678</c:v>
                </c:pt>
                <c:pt idx="38">
                  <c:v>-0.13463416729512953</c:v>
                </c:pt>
                <c:pt idx="39">
                  <c:v>-0.1552590269238952</c:v>
                </c:pt>
                <c:pt idx="40">
                  <c:v>-0.12871824757631078</c:v>
                </c:pt>
                <c:pt idx="41">
                  <c:v>-0.10354260609637461</c:v>
                </c:pt>
                <c:pt idx="42">
                  <c:v>-0.10520534959637465</c:v>
                </c:pt>
                <c:pt idx="43">
                  <c:v>-0.11863734995129939</c:v>
                </c:pt>
                <c:pt idx="44">
                  <c:v>-9.133609974062655E-2</c:v>
                </c:pt>
                <c:pt idx="45">
                  <c:v>-6.2821808715565405E-2</c:v>
                </c:pt>
                <c:pt idx="46">
                  <c:v>-4.0962383500787153E-2</c:v>
                </c:pt>
                <c:pt idx="47">
                  <c:v>-2.749078295390214E-2</c:v>
                </c:pt>
                <c:pt idx="48">
                  <c:v>-4.1739544652887386E-2</c:v>
                </c:pt>
                <c:pt idx="49">
                  <c:v>-3.5818040257270381E-2</c:v>
                </c:pt>
                <c:pt idx="50">
                  <c:v>-2.0174577903487423E-2</c:v>
                </c:pt>
                <c:pt idx="51">
                  <c:v>-9.80214422259661E-3</c:v>
                </c:pt>
                <c:pt idx="52">
                  <c:v>-4.3699484199253959E-3</c:v>
                </c:pt>
                <c:pt idx="53">
                  <c:v>-1.0746579327635354E-2</c:v>
                </c:pt>
                <c:pt idx="54">
                  <c:v>-1.7172870204776348E-2</c:v>
                </c:pt>
                <c:pt idx="55">
                  <c:v>-2.8488295403487632E-2</c:v>
                </c:pt>
                <c:pt idx="56">
                  <c:v>-4.2455474453902513E-2</c:v>
                </c:pt>
                <c:pt idx="57">
                  <c:v>-4.6608760192872696E-2</c:v>
                </c:pt>
                <c:pt idx="58">
                  <c:v>-4.8271503692872732E-2</c:v>
                </c:pt>
                <c:pt idx="59">
                  <c:v>-6.2578049000787686E-2</c:v>
                </c:pt>
                <c:pt idx="60">
                  <c:v>-5.1596990692872817E-2</c:v>
                </c:pt>
                <c:pt idx="61">
                  <c:v>-4.3355377535056597E-2</c:v>
                </c:pt>
                <c:pt idx="62">
                  <c:v>-5.4922477692872902E-2</c:v>
                </c:pt>
                <c:pt idx="63">
                  <c:v>-7.4370992398835434E-2</c:v>
                </c:pt>
                <c:pt idx="64">
                  <c:v>-9.9781684346479854E-2</c:v>
                </c:pt>
                <c:pt idx="65">
                  <c:v>-0.12626422155652675</c:v>
                </c:pt>
                <c:pt idx="66">
                  <c:v>-0.13645196894004874</c:v>
                </c:pt>
                <c:pt idx="67">
                  <c:v>-0.11841790452971097</c:v>
                </c:pt>
                <c:pt idx="68">
                  <c:v>-0.10106490921556635</c:v>
                </c:pt>
                <c:pt idx="69">
                  <c:v>-8.953794928275309E-2</c:v>
                </c:pt>
                <c:pt idx="70">
                  <c:v>-8.0868227500788148E-2</c:v>
                </c:pt>
                <c:pt idx="71">
                  <c:v>-6.7396626953903138E-2</c:v>
                </c:pt>
                <c:pt idx="72">
                  <c:v>-5.1907418356812167E-2</c:v>
                </c:pt>
                <c:pt idx="73">
                  <c:v>-5.357016185681221E-2</c:v>
                </c:pt>
                <c:pt idx="74">
                  <c:v>-5.5232905356812252E-2</c:v>
                </c:pt>
                <c:pt idx="75">
                  <c:v>-5.2090483704777216E-2</c:v>
                </c:pt>
                <c:pt idx="76">
                  <c:v>-5.6155036231110407E-2</c:v>
                </c:pt>
                <c:pt idx="77">
                  <c:v>-6.2635040129592173E-2</c:v>
                </c:pt>
                <c:pt idx="78">
                  <c:v>-4.9953172972308384E-2</c:v>
                </c:pt>
                <c:pt idx="79">
                  <c:v>-6.1143266731110528E-2</c:v>
                </c:pt>
                <c:pt idx="80">
                  <c:v>-7.005688290348866E-2</c:v>
                </c:pt>
                <c:pt idx="81">
                  <c:v>-5.023891094789075E-2</c:v>
                </c:pt>
                <c:pt idx="82">
                  <c:v>-4.0322642707528E-2</c:v>
                </c:pt>
                <c:pt idx="83">
                  <c:v>-3.5154897541877977E-2</c:v>
                </c:pt>
                <c:pt idx="84">
                  <c:v>-4.5949656785143761E-2</c:v>
                </c:pt>
                <c:pt idx="85">
                  <c:v>-4.7612400285143804E-2</c:v>
                </c:pt>
                <c:pt idx="86">
                  <c:v>-4.2407722800495262E-2</c:v>
                </c:pt>
                <c:pt idx="87">
                  <c:v>-4.4070466300495305E-2</c:v>
                </c:pt>
                <c:pt idx="88">
                  <c:v>-5.0299103707528249E-2</c:v>
                </c:pt>
                <c:pt idx="89">
                  <c:v>-4.5131358541878226E-2</c:v>
                </c:pt>
                <c:pt idx="90">
                  <c:v>-4.4538793405629641E-2</c:v>
                </c:pt>
                <c:pt idx="91">
                  <c:v>-3.9473981632125656E-2</c:v>
                </c:pt>
                <c:pt idx="92">
                  <c:v>-3.2306382911815673E-2</c:v>
                </c:pt>
                <c:pt idx="93">
                  <c:v>-3.3969126411815709E-2</c:v>
                </c:pt>
                <c:pt idx="94">
                  <c:v>-3.7824150760714416E-2</c:v>
                </c:pt>
                <c:pt idx="95">
                  <c:v>-4.1687948446619306E-2</c:v>
                </c:pt>
                <c:pt idx="96">
                  <c:v>-4.5568852510594254E-2</c:v>
                </c:pt>
                <c:pt idx="97">
                  <c:v>-4.2812381260714544E-2</c:v>
                </c:pt>
                <c:pt idx="98">
                  <c:v>-3.791622502777578E-2</c:v>
                </c:pt>
                <c:pt idx="99">
                  <c:v>-5.277592963212599E-2</c:v>
                </c:pt>
                <c:pt idx="100">
                  <c:v>-5.0001665946619513E-2</c:v>
                </c:pt>
                <c:pt idx="101">
                  <c:v>-5.388257001059446E-2</c:v>
                </c:pt>
                <c:pt idx="102">
                  <c:v>-6.2237253235370368E-2</c:v>
                </c:pt>
                <c:pt idx="103">
                  <c:v>-6.3899996735370404E-2</c:v>
                </c:pt>
                <c:pt idx="104">
                  <c:v>-7.4619566014959116E-2</c:v>
                </c:pt>
                <c:pt idx="105">
                  <c:v>-8.7812841946652856E-2</c:v>
                </c:pt>
                <c:pt idx="106">
                  <c:v>-8.9475585446652892E-2</c:v>
                </c:pt>
                <c:pt idx="107">
                  <c:v>-8.8807615060780609E-2</c:v>
                </c:pt>
                <c:pt idx="108">
                  <c:v>-7.8988079800496172E-2</c:v>
                </c:pt>
                <c:pt idx="109">
                  <c:v>-7.6130919905630423E-2</c:v>
                </c:pt>
                <c:pt idx="110">
                  <c:v>-7.3302272179817052E-2</c:v>
                </c:pt>
                <c:pt idx="111">
                  <c:v>-7.7201944735370731E-2</c:v>
                </c:pt>
                <c:pt idx="112">
                  <c:v>-7.2172748510594908E-2</c:v>
                </c:pt>
                <c:pt idx="113">
                  <c:v>-6.9416277260715198E-2</c:v>
                </c:pt>
                <c:pt idx="114">
                  <c:v>-6.4520121027776434E-2</c:v>
                </c:pt>
                <c:pt idx="115">
                  <c:v>-5.5419594155245368E-2</c:v>
                </c:pt>
                <c:pt idx="116">
                  <c:v>-5.2833746025003153E-2</c:v>
                </c:pt>
                <c:pt idx="117">
                  <c:v>-4.4020279696368583E-2</c:v>
                </c:pt>
                <c:pt idx="118">
                  <c:v>-3.5402636430074935E-2</c:v>
                </c:pt>
                <c:pt idx="119">
                  <c:v>-2.6973629638902177E-2</c:v>
                </c:pt>
                <c:pt idx="120">
                  <c:v>-2.0691272706325203E-2</c:v>
                </c:pt>
                <c:pt idx="121">
                  <c:v>-2.4333242839384917E-2</c:v>
                </c:pt>
                <c:pt idx="122">
                  <c:v>-2.4016759706325289E-2</c:v>
                </c:pt>
                <c:pt idx="123">
                  <c:v>-1.5910462550358464E-2</c:v>
                </c:pt>
                <c:pt idx="124">
                  <c:v>-7.9746581702005333E-3</c:v>
                </c:pt>
                <c:pt idx="125">
                  <c:v>-5.8429918160053836E-3</c:v>
                </c:pt>
                <c:pt idx="126">
                  <c:v>-1.5022238383677335E-6</c:v>
                </c:pt>
                <c:pt idx="127">
                  <c:v>-7.2845542225330913E-3</c:v>
                </c:pt>
                <c:pt idx="128">
                  <c:v>-1.2728688047418047E-2</c:v>
                </c:pt>
                <c:pt idx="129">
                  <c:v>-2.3956642110668683E-2</c:v>
                </c:pt>
                <c:pt idx="130">
                  <c:v>-5.3325364950854319E-2</c:v>
                </c:pt>
              </c:numCache>
            </c:numRef>
          </c:val>
          <c:smooth val="0"/>
          <c:extLst>
            <c:ext xmlns:c16="http://schemas.microsoft.com/office/drawing/2014/chart" uri="{C3380CC4-5D6E-409C-BE32-E72D297353CC}">
              <c16:uniqueId val="{00000000-3057-47A6-B4CE-E2275BE5E6CD}"/>
            </c:ext>
          </c:extLst>
        </c:ser>
        <c:ser>
          <c:idx val="1"/>
          <c:order val="1"/>
          <c:tx>
            <c:v>Based on Annual GNP Data</c:v>
          </c:tx>
          <c:spPr>
            <a:ln w="28575" cap="rnd">
              <a:solidFill>
                <a:schemeClr val="accent2"/>
              </a:solidFill>
              <a:round/>
            </a:ln>
            <a:effectLst/>
          </c:spPr>
          <c:marker>
            <c:symbol val="none"/>
          </c:marker>
          <c:cat>
            <c:numRef>
              <c:f>'FRED Graph'!$A$12:$A$143</c:f>
              <c:numCache>
                <c:formatCode>yyyy\-mm\-dd</c:formatCode>
                <c:ptCount val="132"/>
                <c:pt idx="0">
                  <c:v>6941</c:v>
                </c:pt>
                <c:pt idx="1">
                  <c:v>6972</c:v>
                </c:pt>
                <c:pt idx="2">
                  <c:v>7000</c:v>
                </c:pt>
                <c:pt idx="3">
                  <c:v>7031</c:v>
                </c:pt>
                <c:pt idx="4">
                  <c:v>7061</c:v>
                </c:pt>
                <c:pt idx="5">
                  <c:v>7092</c:v>
                </c:pt>
                <c:pt idx="6">
                  <c:v>7122</c:v>
                </c:pt>
                <c:pt idx="7">
                  <c:v>7153</c:v>
                </c:pt>
                <c:pt idx="8">
                  <c:v>7184</c:v>
                </c:pt>
                <c:pt idx="9">
                  <c:v>7214</c:v>
                </c:pt>
                <c:pt idx="10">
                  <c:v>7245</c:v>
                </c:pt>
                <c:pt idx="11">
                  <c:v>7275</c:v>
                </c:pt>
                <c:pt idx="12">
                  <c:v>7306</c:v>
                </c:pt>
                <c:pt idx="13">
                  <c:v>7337</c:v>
                </c:pt>
                <c:pt idx="14">
                  <c:v>7366</c:v>
                </c:pt>
                <c:pt idx="15">
                  <c:v>7397</c:v>
                </c:pt>
                <c:pt idx="16">
                  <c:v>7427</c:v>
                </c:pt>
                <c:pt idx="17">
                  <c:v>7458</c:v>
                </c:pt>
                <c:pt idx="18">
                  <c:v>7488</c:v>
                </c:pt>
                <c:pt idx="19">
                  <c:v>7519</c:v>
                </c:pt>
                <c:pt idx="20">
                  <c:v>7550</c:v>
                </c:pt>
                <c:pt idx="21">
                  <c:v>7580</c:v>
                </c:pt>
                <c:pt idx="22">
                  <c:v>7611</c:v>
                </c:pt>
                <c:pt idx="23">
                  <c:v>7641</c:v>
                </c:pt>
                <c:pt idx="24">
                  <c:v>7672</c:v>
                </c:pt>
                <c:pt idx="25">
                  <c:v>7703</c:v>
                </c:pt>
                <c:pt idx="26">
                  <c:v>7731</c:v>
                </c:pt>
                <c:pt idx="27">
                  <c:v>7762</c:v>
                </c:pt>
                <c:pt idx="28">
                  <c:v>7792</c:v>
                </c:pt>
                <c:pt idx="29">
                  <c:v>7823</c:v>
                </c:pt>
                <c:pt idx="30">
                  <c:v>7853</c:v>
                </c:pt>
                <c:pt idx="31">
                  <c:v>7884</c:v>
                </c:pt>
                <c:pt idx="32">
                  <c:v>7915</c:v>
                </c:pt>
                <c:pt idx="33">
                  <c:v>7945</c:v>
                </c:pt>
                <c:pt idx="34">
                  <c:v>7976</c:v>
                </c:pt>
                <c:pt idx="35">
                  <c:v>8006</c:v>
                </c:pt>
                <c:pt idx="36">
                  <c:v>8037</c:v>
                </c:pt>
                <c:pt idx="37">
                  <c:v>8068</c:v>
                </c:pt>
                <c:pt idx="38">
                  <c:v>8096</c:v>
                </c:pt>
                <c:pt idx="39">
                  <c:v>8127</c:v>
                </c:pt>
                <c:pt idx="40">
                  <c:v>8157</c:v>
                </c:pt>
                <c:pt idx="41">
                  <c:v>8188</c:v>
                </c:pt>
                <c:pt idx="42">
                  <c:v>8218</c:v>
                </c:pt>
                <c:pt idx="43">
                  <c:v>8249</c:v>
                </c:pt>
                <c:pt idx="44">
                  <c:v>8280</c:v>
                </c:pt>
                <c:pt idx="45">
                  <c:v>8310</c:v>
                </c:pt>
                <c:pt idx="46">
                  <c:v>8341</c:v>
                </c:pt>
                <c:pt idx="47">
                  <c:v>8371</c:v>
                </c:pt>
                <c:pt idx="48">
                  <c:v>8402</c:v>
                </c:pt>
                <c:pt idx="49">
                  <c:v>8433</c:v>
                </c:pt>
                <c:pt idx="50">
                  <c:v>8461</c:v>
                </c:pt>
                <c:pt idx="51">
                  <c:v>8492</c:v>
                </c:pt>
                <c:pt idx="52">
                  <c:v>8522</c:v>
                </c:pt>
                <c:pt idx="53">
                  <c:v>8553</c:v>
                </c:pt>
                <c:pt idx="54">
                  <c:v>8583</c:v>
                </c:pt>
                <c:pt idx="55">
                  <c:v>8614</c:v>
                </c:pt>
                <c:pt idx="56">
                  <c:v>8645</c:v>
                </c:pt>
                <c:pt idx="57">
                  <c:v>8675</c:v>
                </c:pt>
                <c:pt idx="58">
                  <c:v>8706</c:v>
                </c:pt>
                <c:pt idx="59">
                  <c:v>8736</c:v>
                </c:pt>
                <c:pt idx="60">
                  <c:v>8767</c:v>
                </c:pt>
                <c:pt idx="61">
                  <c:v>8798</c:v>
                </c:pt>
                <c:pt idx="62">
                  <c:v>8827</c:v>
                </c:pt>
                <c:pt idx="63">
                  <c:v>8858</c:v>
                </c:pt>
                <c:pt idx="64">
                  <c:v>8888</c:v>
                </c:pt>
                <c:pt idx="65">
                  <c:v>8919</c:v>
                </c:pt>
                <c:pt idx="66">
                  <c:v>8949</c:v>
                </c:pt>
                <c:pt idx="67">
                  <c:v>8980</c:v>
                </c:pt>
                <c:pt idx="68">
                  <c:v>9011</c:v>
                </c:pt>
                <c:pt idx="69">
                  <c:v>9041</c:v>
                </c:pt>
                <c:pt idx="70">
                  <c:v>9072</c:v>
                </c:pt>
                <c:pt idx="71">
                  <c:v>9102</c:v>
                </c:pt>
                <c:pt idx="72">
                  <c:v>9133</c:v>
                </c:pt>
                <c:pt idx="73">
                  <c:v>9164</c:v>
                </c:pt>
                <c:pt idx="74">
                  <c:v>9192</c:v>
                </c:pt>
                <c:pt idx="75">
                  <c:v>9223</c:v>
                </c:pt>
                <c:pt idx="76">
                  <c:v>9253</c:v>
                </c:pt>
                <c:pt idx="77">
                  <c:v>9284</c:v>
                </c:pt>
                <c:pt idx="78">
                  <c:v>9314</c:v>
                </c:pt>
                <c:pt idx="79">
                  <c:v>9345</c:v>
                </c:pt>
                <c:pt idx="80">
                  <c:v>9376</c:v>
                </c:pt>
                <c:pt idx="81">
                  <c:v>9406</c:v>
                </c:pt>
                <c:pt idx="82">
                  <c:v>9437</c:v>
                </c:pt>
                <c:pt idx="83">
                  <c:v>9467</c:v>
                </c:pt>
                <c:pt idx="84">
                  <c:v>9498</c:v>
                </c:pt>
                <c:pt idx="85">
                  <c:v>9529</c:v>
                </c:pt>
                <c:pt idx="86">
                  <c:v>9557</c:v>
                </c:pt>
                <c:pt idx="87">
                  <c:v>9588</c:v>
                </c:pt>
                <c:pt idx="88">
                  <c:v>9618</c:v>
                </c:pt>
                <c:pt idx="89">
                  <c:v>9649</c:v>
                </c:pt>
                <c:pt idx="90">
                  <c:v>9679</c:v>
                </c:pt>
                <c:pt idx="91">
                  <c:v>9710</c:v>
                </c:pt>
                <c:pt idx="92">
                  <c:v>9741</c:v>
                </c:pt>
                <c:pt idx="93">
                  <c:v>9771</c:v>
                </c:pt>
                <c:pt idx="94">
                  <c:v>9802</c:v>
                </c:pt>
                <c:pt idx="95">
                  <c:v>9832</c:v>
                </c:pt>
                <c:pt idx="96">
                  <c:v>9863</c:v>
                </c:pt>
                <c:pt idx="97">
                  <c:v>9894</c:v>
                </c:pt>
                <c:pt idx="98">
                  <c:v>9922</c:v>
                </c:pt>
                <c:pt idx="99">
                  <c:v>9953</c:v>
                </c:pt>
                <c:pt idx="100">
                  <c:v>9983</c:v>
                </c:pt>
                <c:pt idx="101">
                  <c:v>10014</c:v>
                </c:pt>
                <c:pt idx="102">
                  <c:v>10044</c:v>
                </c:pt>
                <c:pt idx="103">
                  <c:v>10075</c:v>
                </c:pt>
                <c:pt idx="104">
                  <c:v>10106</c:v>
                </c:pt>
                <c:pt idx="105">
                  <c:v>10136</c:v>
                </c:pt>
                <c:pt idx="106">
                  <c:v>10167</c:v>
                </c:pt>
                <c:pt idx="107">
                  <c:v>10197</c:v>
                </c:pt>
                <c:pt idx="108">
                  <c:v>10228</c:v>
                </c:pt>
                <c:pt idx="109">
                  <c:v>10259</c:v>
                </c:pt>
                <c:pt idx="110">
                  <c:v>10288</c:v>
                </c:pt>
                <c:pt idx="111">
                  <c:v>10319</c:v>
                </c:pt>
                <c:pt idx="112">
                  <c:v>10349</c:v>
                </c:pt>
                <c:pt idx="113">
                  <c:v>10380</c:v>
                </c:pt>
                <c:pt idx="114">
                  <c:v>10410</c:v>
                </c:pt>
                <c:pt idx="115">
                  <c:v>10441</c:v>
                </c:pt>
                <c:pt idx="116">
                  <c:v>10472</c:v>
                </c:pt>
                <c:pt idx="117">
                  <c:v>10502</c:v>
                </c:pt>
                <c:pt idx="118">
                  <c:v>10533</c:v>
                </c:pt>
                <c:pt idx="119">
                  <c:v>10563</c:v>
                </c:pt>
                <c:pt idx="120">
                  <c:v>10594</c:v>
                </c:pt>
                <c:pt idx="121">
                  <c:v>10625</c:v>
                </c:pt>
                <c:pt idx="122">
                  <c:v>10653</c:v>
                </c:pt>
                <c:pt idx="123">
                  <c:v>10684</c:v>
                </c:pt>
                <c:pt idx="124">
                  <c:v>10714</c:v>
                </c:pt>
                <c:pt idx="125">
                  <c:v>10745</c:v>
                </c:pt>
                <c:pt idx="126">
                  <c:v>10775</c:v>
                </c:pt>
                <c:pt idx="127">
                  <c:v>10806</c:v>
                </c:pt>
                <c:pt idx="128">
                  <c:v>10837</c:v>
                </c:pt>
                <c:pt idx="129">
                  <c:v>10867</c:v>
                </c:pt>
                <c:pt idx="130">
                  <c:v>10898</c:v>
                </c:pt>
                <c:pt idx="131">
                  <c:v>10928</c:v>
                </c:pt>
              </c:numCache>
            </c:numRef>
          </c:cat>
          <c:val>
            <c:numRef>
              <c:f>'FRED Graph'!$M$12:$M$142</c:f>
              <c:numCache>
                <c:formatCode>0.000</c:formatCode>
                <c:ptCount val="131"/>
                <c:pt idx="0">
                  <c:v>-6.2183319078618737E-2</c:v>
                </c:pt>
                <c:pt idx="1">
                  <c:v>-6.2183319078618737E-2</c:v>
                </c:pt>
                <c:pt idx="2">
                  <c:v>-6.2183319078618737E-2</c:v>
                </c:pt>
                <c:pt idx="3">
                  <c:v>-6.2183319078618737E-2</c:v>
                </c:pt>
                <c:pt idx="4">
                  <c:v>-6.2183319078618737E-2</c:v>
                </c:pt>
                <c:pt idx="5">
                  <c:v>-6.2183319078618737E-2</c:v>
                </c:pt>
                <c:pt idx="6">
                  <c:v>-6.2183319078618737E-2</c:v>
                </c:pt>
                <c:pt idx="7">
                  <c:v>-6.2183319078618737E-2</c:v>
                </c:pt>
                <c:pt idx="8">
                  <c:v>-6.2183319078618737E-2</c:v>
                </c:pt>
                <c:pt idx="9">
                  <c:v>-6.2183319078618737E-2</c:v>
                </c:pt>
                <c:pt idx="10">
                  <c:v>-6.2183319078618737E-2</c:v>
                </c:pt>
                <c:pt idx="11">
                  <c:v>-6.2183319078618737E-2</c:v>
                </c:pt>
                <c:pt idx="12">
                  <c:v>-0.10637978962311756</c:v>
                </c:pt>
                <c:pt idx="13">
                  <c:v>-0.10637978962311756</c:v>
                </c:pt>
                <c:pt idx="14">
                  <c:v>-0.10637978962311756</c:v>
                </c:pt>
                <c:pt idx="15">
                  <c:v>-0.10637978962311756</c:v>
                </c:pt>
                <c:pt idx="16">
                  <c:v>-0.10637978962311756</c:v>
                </c:pt>
                <c:pt idx="17">
                  <c:v>-0.10637978962311756</c:v>
                </c:pt>
                <c:pt idx="18">
                  <c:v>-0.10637978962311756</c:v>
                </c:pt>
                <c:pt idx="19">
                  <c:v>-0.10637978962311756</c:v>
                </c:pt>
                <c:pt idx="20">
                  <c:v>-0.10637978962311756</c:v>
                </c:pt>
                <c:pt idx="21">
                  <c:v>-0.10637978962311756</c:v>
                </c:pt>
                <c:pt idx="22">
                  <c:v>-0.10637978962311756</c:v>
                </c:pt>
                <c:pt idx="23">
                  <c:v>-0.10637978962311756</c:v>
                </c:pt>
                <c:pt idx="24">
                  <c:v>-0.16393968330224862</c:v>
                </c:pt>
                <c:pt idx="25">
                  <c:v>-0.16393968330224862</c:v>
                </c:pt>
                <c:pt idx="26">
                  <c:v>-0.16393968330224862</c:v>
                </c:pt>
                <c:pt idx="27">
                  <c:v>-0.16393968330224862</c:v>
                </c:pt>
                <c:pt idx="28">
                  <c:v>-0.16393968330224862</c:v>
                </c:pt>
                <c:pt idx="29">
                  <c:v>-0.16393968330224862</c:v>
                </c:pt>
                <c:pt idx="30">
                  <c:v>-0.16393968330224862</c:v>
                </c:pt>
                <c:pt idx="31">
                  <c:v>-0.16393968330224862</c:v>
                </c:pt>
                <c:pt idx="32">
                  <c:v>-0.16393968330224862</c:v>
                </c:pt>
                <c:pt idx="33">
                  <c:v>-0.16393968330224862</c:v>
                </c:pt>
                <c:pt idx="34">
                  <c:v>-0.16393968330224862</c:v>
                </c:pt>
                <c:pt idx="35">
                  <c:v>-0.16393968330224862</c:v>
                </c:pt>
                <c:pt idx="36">
                  <c:v>-0.12843548836469143</c:v>
                </c:pt>
                <c:pt idx="37">
                  <c:v>-0.12843548836469143</c:v>
                </c:pt>
                <c:pt idx="38">
                  <c:v>-0.12843548836469143</c:v>
                </c:pt>
                <c:pt idx="39">
                  <c:v>-0.12843548836469143</c:v>
                </c:pt>
                <c:pt idx="40">
                  <c:v>-0.12843548836469143</c:v>
                </c:pt>
                <c:pt idx="41">
                  <c:v>-0.12843548836469143</c:v>
                </c:pt>
                <c:pt idx="42">
                  <c:v>-0.12843548836469143</c:v>
                </c:pt>
                <c:pt idx="43">
                  <c:v>-0.12843548836469143</c:v>
                </c:pt>
                <c:pt idx="44">
                  <c:v>-0.12843548836469143</c:v>
                </c:pt>
                <c:pt idx="45">
                  <c:v>-0.12843548836469143</c:v>
                </c:pt>
                <c:pt idx="46">
                  <c:v>-0.12843548836469143</c:v>
                </c:pt>
                <c:pt idx="47">
                  <c:v>-0.12843548836469143</c:v>
                </c:pt>
                <c:pt idx="48">
                  <c:v>-2.8512486903089496E-2</c:v>
                </c:pt>
                <c:pt idx="49">
                  <c:v>-2.8512486903089496E-2</c:v>
                </c:pt>
                <c:pt idx="50">
                  <c:v>-2.8512486903089496E-2</c:v>
                </c:pt>
                <c:pt idx="51">
                  <c:v>-2.8512486903089496E-2</c:v>
                </c:pt>
                <c:pt idx="52">
                  <c:v>-2.8512486903089496E-2</c:v>
                </c:pt>
                <c:pt idx="53">
                  <c:v>-2.8512486903089496E-2</c:v>
                </c:pt>
                <c:pt idx="54">
                  <c:v>-2.8512486903089496E-2</c:v>
                </c:pt>
                <c:pt idx="55">
                  <c:v>-2.8512486903089496E-2</c:v>
                </c:pt>
                <c:pt idx="56">
                  <c:v>-2.8512486903089496E-2</c:v>
                </c:pt>
                <c:pt idx="57">
                  <c:v>-2.8512486903089496E-2</c:v>
                </c:pt>
                <c:pt idx="58">
                  <c:v>-2.8512486903089496E-2</c:v>
                </c:pt>
                <c:pt idx="59">
                  <c:v>-2.8512486903089496E-2</c:v>
                </c:pt>
                <c:pt idx="60">
                  <c:v>-2.8542819330230174E-2</c:v>
                </c:pt>
                <c:pt idx="61">
                  <c:v>-2.8542819330230174E-2</c:v>
                </c:pt>
                <c:pt idx="62">
                  <c:v>-2.8542819330230174E-2</c:v>
                </c:pt>
                <c:pt idx="63">
                  <c:v>-2.8542819330230174E-2</c:v>
                </c:pt>
                <c:pt idx="64">
                  <c:v>-2.8542819330230174E-2</c:v>
                </c:pt>
                <c:pt idx="65">
                  <c:v>-2.8542819330230174E-2</c:v>
                </c:pt>
                <c:pt idx="66">
                  <c:v>-2.8542819330230174E-2</c:v>
                </c:pt>
                <c:pt idx="67">
                  <c:v>-2.8542819330230174E-2</c:v>
                </c:pt>
                <c:pt idx="68">
                  <c:v>-2.8542819330230174E-2</c:v>
                </c:pt>
                <c:pt idx="69">
                  <c:v>-2.8542819330230174E-2</c:v>
                </c:pt>
                <c:pt idx="70">
                  <c:v>-2.8542819330230174E-2</c:v>
                </c:pt>
                <c:pt idx="71">
                  <c:v>-2.8542819330230174E-2</c:v>
                </c:pt>
                <c:pt idx="72">
                  <c:v>-3.2924560977789064E-2</c:v>
                </c:pt>
                <c:pt idx="73">
                  <c:v>-3.2924560977789064E-2</c:v>
                </c:pt>
                <c:pt idx="74">
                  <c:v>-3.2924560977789064E-2</c:v>
                </c:pt>
                <c:pt idx="75">
                  <c:v>-3.2924560977789064E-2</c:v>
                </c:pt>
                <c:pt idx="76">
                  <c:v>-3.2924560977789064E-2</c:v>
                </c:pt>
                <c:pt idx="77">
                  <c:v>-3.2924560977789064E-2</c:v>
                </c:pt>
                <c:pt idx="78">
                  <c:v>-3.2924560977789064E-2</c:v>
                </c:pt>
                <c:pt idx="79">
                  <c:v>-3.2924560977789064E-2</c:v>
                </c:pt>
                <c:pt idx="80">
                  <c:v>-3.2924560977789064E-2</c:v>
                </c:pt>
                <c:pt idx="81">
                  <c:v>-3.2924560977789064E-2</c:v>
                </c:pt>
                <c:pt idx="82">
                  <c:v>-3.2924560977789064E-2</c:v>
                </c:pt>
                <c:pt idx="83">
                  <c:v>-3.2924560977789064E-2</c:v>
                </c:pt>
                <c:pt idx="84">
                  <c:v>0</c:v>
                </c:pt>
                <c:pt idx="85">
                  <c:v>0</c:v>
                </c:pt>
                <c:pt idx="86">
                  <c:v>0</c:v>
                </c:pt>
                <c:pt idx="87">
                  <c:v>0</c:v>
                </c:pt>
                <c:pt idx="88">
                  <c:v>0</c:v>
                </c:pt>
                <c:pt idx="89">
                  <c:v>0</c:v>
                </c:pt>
                <c:pt idx="90">
                  <c:v>0</c:v>
                </c:pt>
                <c:pt idx="91">
                  <c:v>0</c:v>
                </c:pt>
                <c:pt idx="92">
                  <c:v>0</c:v>
                </c:pt>
                <c:pt idx="93">
                  <c:v>0</c:v>
                </c:pt>
                <c:pt idx="94">
                  <c:v>0</c:v>
                </c:pt>
                <c:pt idx="95">
                  <c:v>0</c:v>
                </c:pt>
                <c:pt idx="96">
                  <c:v>-2.0123739724112077E-2</c:v>
                </c:pt>
                <c:pt idx="97">
                  <c:v>-2.0123739724112077E-2</c:v>
                </c:pt>
                <c:pt idx="98">
                  <c:v>-2.0123739724112077E-2</c:v>
                </c:pt>
                <c:pt idx="99">
                  <c:v>-2.0123739724112077E-2</c:v>
                </c:pt>
                <c:pt idx="100">
                  <c:v>-2.0123739724112077E-2</c:v>
                </c:pt>
                <c:pt idx="101">
                  <c:v>-2.0123739724112077E-2</c:v>
                </c:pt>
                <c:pt idx="102">
                  <c:v>-2.0123739724112077E-2</c:v>
                </c:pt>
                <c:pt idx="103">
                  <c:v>-2.0123739724112077E-2</c:v>
                </c:pt>
                <c:pt idx="104">
                  <c:v>-2.0123739724112077E-2</c:v>
                </c:pt>
                <c:pt idx="105">
                  <c:v>-2.0123739724112077E-2</c:v>
                </c:pt>
                <c:pt idx="106">
                  <c:v>-2.0123739724112077E-2</c:v>
                </c:pt>
                <c:pt idx="107">
                  <c:v>-2.0123739724112077E-2</c:v>
                </c:pt>
                <c:pt idx="108">
                  <c:v>-3.2722561490697188E-2</c:v>
                </c:pt>
                <c:pt idx="109">
                  <c:v>-3.2722561490697188E-2</c:v>
                </c:pt>
                <c:pt idx="110">
                  <c:v>-3.2722561490697188E-2</c:v>
                </c:pt>
                <c:pt idx="111">
                  <c:v>-3.2722561490697188E-2</c:v>
                </c:pt>
                <c:pt idx="112">
                  <c:v>-3.2722561490697188E-2</c:v>
                </c:pt>
                <c:pt idx="113">
                  <c:v>-3.2722561490697188E-2</c:v>
                </c:pt>
                <c:pt idx="114">
                  <c:v>-3.2722561490697188E-2</c:v>
                </c:pt>
                <c:pt idx="115">
                  <c:v>-3.2722561490697188E-2</c:v>
                </c:pt>
                <c:pt idx="116">
                  <c:v>-3.2722561490697188E-2</c:v>
                </c:pt>
                <c:pt idx="117">
                  <c:v>-3.2722561490697188E-2</c:v>
                </c:pt>
                <c:pt idx="118">
                  <c:v>-3.2722561490697188E-2</c:v>
                </c:pt>
                <c:pt idx="119">
                  <c:v>-3.2722561490697188E-2</c:v>
                </c:pt>
                <c:pt idx="120">
                  <c:v>4.4293457790445245E-11</c:v>
                </c:pt>
                <c:pt idx="121">
                  <c:v>4.4293457790445245E-11</c:v>
                </c:pt>
                <c:pt idx="122">
                  <c:v>4.4293457790445245E-11</c:v>
                </c:pt>
                <c:pt idx="123">
                  <c:v>4.4293457790445245E-11</c:v>
                </c:pt>
                <c:pt idx="124">
                  <c:v>4.4293457790445245E-11</c:v>
                </c:pt>
                <c:pt idx="125">
                  <c:v>4.4293457790445245E-11</c:v>
                </c:pt>
                <c:pt idx="126">
                  <c:v>4.4293457790445245E-11</c:v>
                </c:pt>
                <c:pt idx="127">
                  <c:v>4.4293457790445245E-11</c:v>
                </c:pt>
                <c:pt idx="128">
                  <c:v>4.4293457790445245E-11</c:v>
                </c:pt>
                <c:pt idx="129">
                  <c:v>4.4293457790445245E-11</c:v>
                </c:pt>
                <c:pt idx="130">
                  <c:v>4.4293457790445245E-11</c:v>
                </c:pt>
              </c:numCache>
            </c:numRef>
          </c:val>
          <c:smooth val="0"/>
          <c:extLst>
            <c:ext xmlns:c16="http://schemas.microsoft.com/office/drawing/2014/chart" uri="{C3380CC4-5D6E-409C-BE32-E72D297353CC}">
              <c16:uniqueId val="{00000001-3057-47A6-B4CE-E2275BE5E6CD}"/>
            </c:ext>
          </c:extLst>
        </c:ser>
        <c:dLbls>
          <c:showLegendKey val="0"/>
          <c:showVal val="0"/>
          <c:showCatName val="0"/>
          <c:showSerName val="0"/>
          <c:showPercent val="0"/>
          <c:showBubbleSize val="0"/>
        </c:dLbls>
        <c:smooth val="0"/>
        <c:axId val="183217304"/>
        <c:axId val="183211032"/>
      </c:lineChart>
      <c:dateAx>
        <c:axId val="183217304"/>
        <c:scaling>
          <c:orientation val="minMax"/>
        </c:scaling>
        <c:delete val="0"/>
        <c:axPos val="b"/>
        <c:numFmt formatCode="yyyy\-mm\-d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11032"/>
        <c:crosses val="autoZero"/>
        <c:auto val="1"/>
        <c:lblOffset val="100"/>
        <c:baseTimeUnit val="months"/>
      </c:dateAx>
      <c:valAx>
        <c:axId val="183211032"/>
        <c:scaling>
          <c:orientation val="minMax"/>
        </c:scaling>
        <c:delete val="0"/>
        <c:axPos val="l"/>
        <c:majorGridlines>
          <c:spPr>
            <a:ln w="9525" cap="flat" cmpd="sng" algn="ctr">
              <a:solidFill>
                <a:schemeClr val="tx1">
                  <a:lumMod val="15000"/>
                  <a:lumOff val="85000"/>
                </a:schemeClr>
              </a:solidFill>
              <a:round/>
            </a:ln>
            <a:effectLst/>
          </c:spPr>
        </c:majorGridlines>
        <c:numFmt formatCode="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217304"/>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5</a:t>
            </a:r>
          </a:p>
          <a:p>
            <a:pPr>
              <a:defRPr/>
            </a:pPr>
            <a:r>
              <a:rPr lang="en-US"/>
              <a:t>Three Measures</a:t>
            </a:r>
            <a:r>
              <a:rPr lang="en-US" baseline="0"/>
              <a:t> of Monthly Inflation using CPI-Urban</a:t>
            </a:r>
          </a:p>
          <a:p>
            <a:pPr>
              <a:defRPr/>
            </a:pPr>
            <a:r>
              <a:rPr lang="en-US" baseline="0"/>
              <a:t>United States, 1919-1929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1013190658859948E-2"/>
          <c:y val="0.10862510941929265"/>
          <c:w val="0.93046558996746553"/>
          <c:h val="0.78575392948903755"/>
        </c:manualLayout>
      </c:layout>
      <c:lineChart>
        <c:grouping val="standard"/>
        <c:varyColors val="0"/>
        <c:ser>
          <c:idx val="0"/>
          <c:order val="0"/>
          <c:tx>
            <c:v>Month to Month, Annualized</c:v>
          </c:tx>
          <c:spPr>
            <a:ln w="28575" cap="rnd">
              <a:solidFill>
                <a:schemeClr val="accent1"/>
              </a:solidFill>
              <a:round/>
            </a:ln>
            <a:effectLst/>
          </c:spPr>
          <c:marker>
            <c:symbol val="none"/>
          </c:marker>
          <c:cat>
            <c:numRef>
              <c:f>Sheet1!$B$6:$B$137</c:f>
              <c:numCache>
                <c:formatCode>General</c:formatCode>
                <c:ptCount val="132"/>
                <c:pt idx="0">
                  <c:v>1919.01</c:v>
                </c:pt>
                <c:pt idx="1">
                  <c:v>1919.02</c:v>
                </c:pt>
                <c:pt idx="2">
                  <c:v>1919.03</c:v>
                </c:pt>
                <c:pt idx="3">
                  <c:v>1919.04</c:v>
                </c:pt>
                <c:pt idx="4">
                  <c:v>1919.05</c:v>
                </c:pt>
                <c:pt idx="5">
                  <c:v>1919.06</c:v>
                </c:pt>
                <c:pt idx="6">
                  <c:v>1919.07</c:v>
                </c:pt>
                <c:pt idx="7">
                  <c:v>1919.08</c:v>
                </c:pt>
                <c:pt idx="8">
                  <c:v>1919.09</c:v>
                </c:pt>
                <c:pt idx="9">
                  <c:v>1919.1</c:v>
                </c:pt>
                <c:pt idx="10">
                  <c:v>1919.11</c:v>
                </c:pt>
                <c:pt idx="11">
                  <c:v>1919.12</c:v>
                </c:pt>
                <c:pt idx="12">
                  <c:v>1920.01</c:v>
                </c:pt>
                <c:pt idx="13">
                  <c:v>1920.02</c:v>
                </c:pt>
                <c:pt idx="14">
                  <c:v>1920.03</c:v>
                </c:pt>
                <c:pt idx="15">
                  <c:v>1920.04</c:v>
                </c:pt>
                <c:pt idx="16">
                  <c:v>1920.05</c:v>
                </c:pt>
                <c:pt idx="17">
                  <c:v>1920.06</c:v>
                </c:pt>
                <c:pt idx="18">
                  <c:v>1920.07</c:v>
                </c:pt>
                <c:pt idx="19">
                  <c:v>1920.08</c:v>
                </c:pt>
                <c:pt idx="20">
                  <c:v>1920.09</c:v>
                </c:pt>
                <c:pt idx="21">
                  <c:v>1920.1</c:v>
                </c:pt>
                <c:pt idx="22">
                  <c:v>1920.11</c:v>
                </c:pt>
                <c:pt idx="23">
                  <c:v>1920.12</c:v>
                </c:pt>
                <c:pt idx="24">
                  <c:v>1921.01</c:v>
                </c:pt>
                <c:pt idx="25">
                  <c:v>1921.02</c:v>
                </c:pt>
                <c:pt idx="26">
                  <c:v>1921.03</c:v>
                </c:pt>
                <c:pt idx="27">
                  <c:v>1921.04</c:v>
                </c:pt>
                <c:pt idx="28">
                  <c:v>1921.05</c:v>
                </c:pt>
                <c:pt idx="29">
                  <c:v>1921.06</c:v>
                </c:pt>
                <c:pt idx="30">
                  <c:v>1921.07</c:v>
                </c:pt>
                <c:pt idx="31">
                  <c:v>1921.08</c:v>
                </c:pt>
                <c:pt idx="32">
                  <c:v>1921.09</c:v>
                </c:pt>
                <c:pt idx="33">
                  <c:v>1921.1</c:v>
                </c:pt>
                <c:pt idx="34">
                  <c:v>1921.11</c:v>
                </c:pt>
                <c:pt idx="35">
                  <c:v>1921.12</c:v>
                </c:pt>
                <c:pt idx="36">
                  <c:v>1922.01</c:v>
                </c:pt>
                <c:pt idx="37">
                  <c:v>1922.02</c:v>
                </c:pt>
                <c:pt idx="38">
                  <c:v>1922.03</c:v>
                </c:pt>
                <c:pt idx="39">
                  <c:v>1922.04</c:v>
                </c:pt>
                <c:pt idx="40">
                  <c:v>1922.05</c:v>
                </c:pt>
                <c:pt idx="41">
                  <c:v>1922.06</c:v>
                </c:pt>
                <c:pt idx="42">
                  <c:v>1922.07</c:v>
                </c:pt>
                <c:pt idx="43">
                  <c:v>1922.08</c:v>
                </c:pt>
                <c:pt idx="44">
                  <c:v>1922.09</c:v>
                </c:pt>
                <c:pt idx="45">
                  <c:v>1922.1</c:v>
                </c:pt>
                <c:pt idx="46">
                  <c:v>1922.11</c:v>
                </c:pt>
                <c:pt idx="47">
                  <c:v>1922.12</c:v>
                </c:pt>
                <c:pt idx="48">
                  <c:v>1923.01</c:v>
                </c:pt>
                <c:pt idx="49">
                  <c:v>1923.02</c:v>
                </c:pt>
                <c:pt idx="50">
                  <c:v>1923.03</c:v>
                </c:pt>
                <c:pt idx="51">
                  <c:v>1923.04</c:v>
                </c:pt>
                <c:pt idx="52">
                  <c:v>1923.05</c:v>
                </c:pt>
                <c:pt idx="53">
                  <c:v>1923.06</c:v>
                </c:pt>
                <c:pt idx="54">
                  <c:v>1923.07</c:v>
                </c:pt>
                <c:pt idx="55">
                  <c:v>1923.08</c:v>
                </c:pt>
                <c:pt idx="56">
                  <c:v>1923.09</c:v>
                </c:pt>
                <c:pt idx="57">
                  <c:v>1923.1</c:v>
                </c:pt>
                <c:pt idx="58">
                  <c:v>1923.11</c:v>
                </c:pt>
                <c:pt idx="59">
                  <c:v>1923.12</c:v>
                </c:pt>
                <c:pt idx="60">
                  <c:v>1924.01</c:v>
                </c:pt>
                <c:pt idx="61">
                  <c:v>1924.02</c:v>
                </c:pt>
                <c:pt idx="62">
                  <c:v>1924.03</c:v>
                </c:pt>
                <c:pt idx="63">
                  <c:v>1924.04</c:v>
                </c:pt>
                <c:pt idx="64">
                  <c:v>1924.05</c:v>
                </c:pt>
                <c:pt idx="65">
                  <c:v>1924.06</c:v>
                </c:pt>
                <c:pt idx="66">
                  <c:v>1924.07</c:v>
                </c:pt>
                <c:pt idx="67">
                  <c:v>1924.08</c:v>
                </c:pt>
                <c:pt idx="68">
                  <c:v>1924.09</c:v>
                </c:pt>
                <c:pt idx="69">
                  <c:v>1924.1</c:v>
                </c:pt>
                <c:pt idx="70">
                  <c:v>1924.11</c:v>
                </c:pt>
                <c:pt idx="71">
                  <c:v>1924.12</c:v>
                </c:pt>
                <c:pt idx="72">
                  <c:v>1925.01</c:v>
                </c:pt>
                <c:pt idx="73">
                  <c:v>1925.02</c:v>
                </c:pt>
                <c:pt idx="74">
                  <c:v>1925.03</c:v>
                </c:pt>
                <c:pt idx="75">
                  <c:v>1925.04</c:v>
                </c:pt>
                <c:pt idx="76">
                  <c:v>1925.05</c:v>
                </c:pt>
                <c:pt idx="77">
                  <c:v>1925.06</c:v>
                </c:pt>
                <c:pt idx="78">
                  <c:v>1925.07</c:v>
                </c:pt>
                <c:pt idx="79">
                  <c:v>1925.08</c:v>
                </c:pt>
                <c:pt idx="80">
                  <c:v>1925.09</c:v>
                </c:pt>
                <c:pt idx="81">
                  <c:v>1925.1</c:v>
                </c:pt>
                <c:pt idx="82">
                  <c:v>1925.11</c:v>
                </c:pt>
                <c:pt idx="83">
                  <c:v>1925.12</c:v>
                </c:pt>
                <c:pt idx="84">
                  <c:v>1926.01</c:v>
                </c:pt>
                <c:pt idx="85">
                  <c:v>1926.02</c:v>
                </c:pt>
                <c:pt idx="86">
                  <c:v>1926.03</c:v>
                </c:pt>
                <c:pt idx="87">
                  <c:v>1926.04</c:v>
                </c:pt>
                <c:pt idx="88">
                  <c:v>1926.05</c:v>
                </c:pt>
                <c:pt idx="89">
                  <c:v>1926.06</c:v>
                </c:pt>
                <c:pt idx="90">
                  <c:v>1926.07</c:v>
                </c:pt>
                <c:pt idx="91">
                  <c:v>1926.08</c:v>
                </c:pt>
                <c:pt idx="92">
                  <c:v>1926.09</c:v>
                </c:pt>
                <c:pt idx="93">
                  <c:v>1926.1</c:v>
                </c:pt>
                <c:pt idx="94">
                  <c:v>1926.11</c:v>
                </c:pt>
                <c:pt idx="95">
                  <c:v>1926.12</c:v>
                </c:pt>
                <c:pt idx="96">
                  <c:v>1927.01</c:v>
                </c:pt>
                <c:pt idx="97">
                  <c:v>1927.02</c:v>
                </c:pt>
                <c:pt idx="98">
                  <c:v>1927.03</c:v>
                </c:pt>
                <c:pt idx="99">
                  <c:v>1927.04</c:v>
                </c:pt>
                <c:pt idx="100">
                  <c:v>1927.05</c:v>
                </c:pt>
                <c:pt idx="101">
                  <c:v>1927.06</c:v>
                </c:pt>
                <c:pt idx="102">
                  <c:v>1927.07</c:v>
                </c:pt>
                <c:pt idx="103">
                  <c:v>1927.08</c:v>
                </c:pt>
                <c:pt idx="104">
                  <c:v>1927.09</c:v>
                </c:pt>
                <c:pt idx="105">
                  <c:v>1927.1</c:v>
                </c:pt>
                <c:pt idx="106">
                  <c:v>1927.11</c:v>
                </c:pt>
                <c:pt idx="107">
                  <c:v>1927.12</c:v>
                </c:pt>
                <c:pt idx="108">
                  <c:v>1928.01</c:v>
                </c:pt>
                <c:pt idx="109">
                  <c:v>1928.02</c:v>
                </c:pt>
                <c:pt idx="110">
                  <c:v>1928.03</c:v>
                </c:pt>
                <c:pt idx="111">
                  <c:v>1928.04</c:v>
                </c:pt>
                <c:pt idx="112">
                  <c:v>1928.05</c:v>
                </c:pt>
                <c:pt idx="113">
                  <c:v>1928.06</c:v>
                </c:pt>
                <c:pt idx="114">
                  <c:v>1928.07</c:v>
                </c:pt>
                <c:pt idx="115">
                  <c:v>1928.08</c:v>
                </c:pt>
                <c:pt idx="116">
                  <c:v>1928.09</c:v>
                </c:pt>
                <c:pt idx="117">
                  <c:v>1928.1</c:v>
                </c:pt>
                <c:pt idx="118">
                  <c:v>1928.11</c:v>
                </c:pt>
                <c:pt idx="119">
                  <c:v>1928.12</c:v>
                </c:pt>
                <c:pt idx="120">
                  <c:v>1929.01</c:v>
                </c:pt>
                <c:pt idx="121">
                  <c:v>1929.02</c:v>
                </c:pt>
                <c:pt idx="122">
                  <c:v>1929.03</c:v>
                </c:pt>
                <c:pt idx="123">
                  <c:v>1929.04</c:v>
                </c:pt>
                <c:pt idx="124">
                  <c:v>1929.05</c:v>
                </c:pt>
                <c:pt idx="125">
                  <c:v>1929.06</c:v>
                </c:pt>
                <c:pt idx="126">
                  <c:v>1929.07</c:v>
                </c:pt>
                <c:pt idx="127">
                  <c:v>1929.08</c:v>
                </c:pt>
                <c:pt idx="128">
                  <c:v>1929.09</c:v>
                </c:pt>
                <c:pt idx="129">
                  <c:v>1929.1</c:v>
                </c:pt>
                <c:pt idx="130">
                  <c:v>1929.11</c:v>
                </c:pt>
                <c:pt idx="131">
                  <c:v>1929.12</c:v>
                </c:pt>
              </c:numCache>
            </c:numRef>
          </c:cat>
          <c:val>
            <c:numRef>
              <c:f>Sheet1!$C$6:$C$137</c:f>
              <c:numCache>
                <c:formatCode>0.00</c:formatCode>
                <c:ptCount val="132"/>
                <c:pt idx="0">
                  <c:v>0</c:v>
                </c:pt>
                <c:pt idx="1">
                  <c:v>-0.22018966401835849</c:v>
                </c:pt>
                <c:pt idx="2">
                  <c:v>0.14724111110177282</c:v>
                </c:pt>
                <c:pt idx="3">
                  <c:v>0.21752861511068042</c:v>
                </c:pt>
                <c:pt idx="4">
                  <c:v>0.14285883007581887</c:v>
                </c:pt>
                <c:pt idx="5">
                  <c:v>0</c:v>
                </c:pt>
                <c:pt idx="6">
                  <c:v>0.34987901149746586</c:v>
                </c:pt>
                <c:pt idx="7">
                  <c:v>0.20513320031160306</c:v>
                </c:pt>
                <c:pt idx="8">
                  <c:v>6.7605812619072767E-2</c:v>
                </c:pt>
                <c:pt idx="9">
                  <c:v>0.20056177168488637</c:v>
                </c:pt>
                <c:pt idx="10">
                  <c:v>0.26230552574998822</c:v>
                </c:pt>
                <c:pt idx="11">
                  <c:v>0.25669427977581072</c:v>
                </c:pt>
                <c:pt idx="12">
                  <c:v>0.25131808614292067</c:v>
                </c:pt>
                <c:pt idx="13">
                  <c:v>0.12371243590633545</c:v>
                </c:pt>
                <c:pt idx="14">
                  <c:v>0.12245004209090002</c:v>
                </c:pt>
                <c:pt idx="15">
                  <c:v>0.36002700364558698</c:v>
                </c:pt>
                <c:pt idx="16">
                  <c:v>0.17604227697352606</c:v>
                </c:pt>
                <c:pt idx="17">
                  <c:v>0.17349699810275637</c:v>
                </c:pt>
                <c:pt idx="18">
                  <c:v>-5.7554067161915329E-2</c:v>
                </c:pt>
                <c:pt idx="19">
                  <c:v>-0.29198520791436799</c:v>
                </c:pt>
                <c:pt idx="20">
                  <c:v>-0.17866334992500765</c:v>
                </c:pt>
                <c:pt idx="21">
                  <c:v>-6.0150501882532778E-2</c:v>
                </c:pt>
                <c:pt idx="22">
                  <c:v>-6.0453528359484837E-2</c:v>
                </c:pt>
                <c:pt idx="23">
                  <c:v>-0.24490645957448687</c:v>
                </c:pt>
                <c:pt idx="24">
                  <c:v>-0.25000904283410297</c:v>
                </c:pt>
                <c:pt idx="25">
                  <c:v>-0.38505977461800756</c:v>
                </c:pt>
                <c:pt idx="26">
                  <c:v>-6.539525721077509E-2</c:v>
                </c:pt>
                <c:pt idx="27">
                  <c:v>-0.13186945890714247</c:v>
                </c:pt>
                <c:pt idx="28">
                  <c:v>-0.26816758430396126</c:v>
                </c:pt>
                <c:pt idx="29">
                  <c:v>-6.7988850428126357E-2</c:v>
                </c:pt>
                <c:pt idx="30">
                  <c:v>6.7988850428127606E-2</c:v>
                </c:pt>
                <c:pt idx="31">
                  <c:v>0</c:v>
                </c:pt>
                <c:pt idx="32">
                  <c:v>-0.13636510380378114</c:v>
                </c:pt>
                <c:pt idx="33">
                  <c:v>0</c:v>
                </c:pt>
                <c:pt idx="34">
                  <c:v>-6.8768096507821147E-2</c:v>
                </c:pt>
                <c:pt idx="35">
                  <c:v>-6.9164456600998875E-2</c:v>
                </c:pt>
                <c:pt idx="36">
                  <c:v>-0.28071455489646691</c:v>
                </c:pt>
                <c:pt idx="37">
                  <c:v>0</c:v>
                </c:pt>
                <c:pt idx="38">
                  <c:v>-0.14285883007581976</c:v>
                </c:pt>
                <c:pt idx="39">
                  <c:v>0</c:v>
                </c:pt>
                <c:pt idx="40">
                  <c:v>0</c:v>
                </c:pt>
                <c:pt idx="41">
                  <c:v>0</c:v>
                </c:pt>
                <c:pt idx="42">
                  <c:v>7.1642003838047696E-2</c:v>
                </c:pt>
                <c:pt idx="43">
                  <c:v>-0.14371429256058779</c:v>
                </c:pt>
                <c:pt idx="44">
                  <c:v>0</c:v>
                </c:pt>
                <c:pt idx="45">
                  <c:v>7.2072288722540734E-2</c:v>
                </c:pt>
                <c:pt idx="46">
                  <c:v>7.1642003838047696E-2</c:v>
                </c:pt>
                <c:pt idx="47">
                  <c:v>7.1216826237774311E-2</c:v>
                </c:pt>
                <c:pt idx="48">
                  <c:v>-7.1216826237773589E-2</c:v>
                </c:pt>
                <c:pt idx="49">
                  <c:v>0</c:v>
                </c:pt>
                <c:pt idx="50">
                  <c:v>0</c:v>
                </c:pt>
                <c:pt idx="51">
                  <c:v>7.1216826237774311E-2</c:v>
                </c:pt>
                <c:pt idx="52">
                  <c:v>0</c:v>
                </c:pt>
                <c:pt idx="53">
                  <c:v>7.0796665526259864E-2</c:v>
                </c:pt>
                <c:pt idx="54">
                  <c:v>0.14035247715829482</c:v>
                </c:pt>
                <c:pt idx="55">
                  <c:v>-6.9971043729517179E-2</c:v>
                </c:pt>
                <c:pt idx="56">
                  <c:v>6.9971043729517721E-2</c:v>
                </c:pt>
                <c:pt idx="57">
                  <c:v>6.9565412211910982E-2</c:v>
                </c:pt>
                <c:pt idx="58">
                  <c:v>0</c:v>
                </c:pt>
                <c:pt idx="59">
                  <c:v>0</c:v>
                </c:pt>
                <c:pt idx="60">
                  <c:v>0</c:v>
                </c:pt>
                <c:pt idx="61">
                  <c:v>-6.9565412211911495E-2</c:v>
                </c:pt>
                <c:pt idx="62">
                  <c:v>-6.9971043729517179E-2</c:v>
                </c:pt>
                <c:pt idx="63">
                  <c:v>-7.0381433428777604E-2</c:v>
                </c:pt>
                <c:pt idx="64">
                  <c:v>0</c:v>
                </c:pt>
                <c:pt idx="65">
                  <c:v>0</c:v>
                </c:pt>
                <c:pt idx="66">
                  <c:v>7.0381433428776688E-2</c:v>
                </c:pt>
                <c:pt idx="67">
                  <c:v>-7.0381433428777604E-2</c:v>
                </c:pt>
                <c:pt idx="68">
                  <c:v>7.0381433428776688E-2</c:v>
                </c:pt>
                <c:pt idx="69">
                  <c:v>6.9971043729517721E-2</c:v>
                </c:pt>
                <c:pt idx="70">
                  <c:v>0</c:v>
                </c:pt>
                <c:pt idx="71">
                  <c:v>6.9565412211910982E-2</c:v>
                </c:pt>
                <c:pt idx="72">
                  <c:v>0</c:v>
                </c:pt>
                <c:pt idx="73">
                  <c:v>-6.9565412211911495E-2</c:v>
                </c:pt>
                <c:pt idx="74">
                  <c:v>6.9565412211910982E-2</c:v>
                </c:pt>
                <c:pt idx="75">
                  <c:v>-6.9565412211911495E-2</c:v>
                </c:pt>
                <c:pt idx="76">
                  <c:v>6.9565412211910982E-2</c:v>
                </c:pt>
                <c:pt idx="77">
                  <c:v>0.13793255310881991</c:v>
                </c:pt>
                <c:pt idx="78">
                  <c:v>0.13636510380378003</c:v>
                </c:pt>
                <c:pt idx="79">
                  <c:v>0</c:v>
                </c:pt>
                <c:pt idx="80">
                  <c:v>0</c:v>
                </c:pt>
                <c:pt idx="81">
                  <c:v>0</c:v>
                </c:pt>
                <c:pt idx="82">
                  <c:v>0.20168541979657428</c:v>
                </c:pt>
                <c:pt idx="83">
                  <c:v>-6.6852540593465667E-2</c:v>
                </c:pt>
                <c:pt idx="84">
                  <c:v>0</c:v>
                </c:pt>
                <c:pt idx="85">
                  <c:v>0</c:v>
                </c:pt>
                <c:pt idx="86">
                  <c:v>-6.7227066584036099E-2</c:v>
                </c:pt>
                <c:pt idx="87">
                  <c:v>6.7227066584037015E-2</c:v>
                </c:pt>
                <c:pt idx="88">
                  <c:v>-6.7227066584036099E-2</c:v>
                </c:pt>
                <c:pt idx="89">
                  <c:v>-6.7605812619073571E-2</c:v>
                </c:pt>
                <c:pt idx="90">
                  <c:v>-0.13636510380378114</c:v>
                </c:pt>
                <c:pt idx="91">
                  <c:v>-6.8768096507821147E-2</c:v>
                </c:pt>
                <c:pt idx="92">
                  <c:v>6.8768096507820897E-2</c:v>
                </c:pt>
                <c:pt idx="93">
                  <c:v>6.8376253375653548E-2</c:v>
                </c:pt>
                <c:pt idx="94">
                  <c:v>6.7988850428127606E-2</c:v>
                </c:pt>
                <c:pt idx="95">
                  <c:v>0</c:v>
                </c:pt>
                <c:pt idx="96">
                  <c:v>-0.13636510380378114</c:v>
                </c:pt>
                <c:pt idx="97">
                  <c:v>-6.8768096507821147E-2</c:v>
                </c:pt>
                <c:pt idx="98">
                  <c:v>-6.9164456600998875E-2</c:v>
                </c:pt>
                <c:pt idx="99">
                  <c:v>0</c:v>
                </c:pt>
                <c:pt idx="100">
                  <c:v>6.9164456600998958E-2</c:v>
                </c:pt>
                <c:pt idx="101">
                  <c:v>0.13714434988347418</c:v>
                </c:pt>
                <c:pt idx="102">
                  <c:v>-0.2063088064844745</c:v>
                </c:pt>
                <c:pt idx="103">
                  <c:v>-6.9565412211911495E-2</c:v>
                </c:pt>
                <c:pt idx="104">
                  <c:v>6.9565412211910982E-2</c:v>
                </c:pt>
                <c:pt idx="105">
                  <c:v>6.9164456600998958E-2</c:v>
                </c:pt>
                <c:pt idx="106">
                  <c:v>-6.9164456600998875E-2</c:v>
                </c:pt>
                <c:pt idx="107">
                  <c:v>0</c:v>
                </c:pt>
                <c:pt idx="108">
                  <c:v>0</c:v>
                </c:pt>
                <c:pt idx="109">
                  <c:v>-0.13953645594142919</c:v>
                </c:pt>
                <c:pt idx="110">
                  <c:v>0</c:v>
                </c:pt>
                <c:pt idx="111">
                  <c:v>0</c:v>
                </c:pt>
                <c:pt idx="112">
                  <c:v>6.9971043729517721E-2</c:v>
                </c:pt>
                <c:pt idx="113">
                  <c:v>-6.9971043729517179E-2</c:v>
                </c:pt>
                <c:pt idx="114">
                  <c:v>0</c:v>
                </c:pt>
                <c:pt idx="115">
                  <c:v>0</c:v>
                </c:pt>
                <c:pt idx="116">
                  <c:v>0.13953645594142791</c:v>
                </c:pt>
                <c:pt idx="117">
                  <c:v>-6.9565412211911495E-2</c:v>
                </c:pt>
                <c:pt idx="118">
                  <c:v>0</c:v>
                </c:pt>
                <c:pt idx="119">
                  <c:v>-6.9971043729517179E-2</c:v>
                </c:pt>
                <c:pt idx="120">
                  <c:v>0</c:v>
                </c:pt>
                <c:pt idx="121">
                  <c:v>0</c:v>
                </c:pt>
                <c:pt idx="122">
                  <c:v>-7.0381433428777604E-2</c:v>
                </c:pt>
                <c:pt idx="123">
                  <c:v>-7.0796665526260599E-2</c:v>
                </c:pt>
                <c:pt idx="124">
                  <c:v>7.0796665526259864E-2</c:v>
                </c:pt>
                <c:pt idx="125">
                  <c:v>7.0381433428776688E-2</c:v>
                </c:pt>
                <c:pt idx="126">
                  <c:v>0.13953645594142791</c:v>
                </c:pt>
                <c:pt idx="127">
                  <c:v>0</c:v>
                </c:pt>
                <c:pt idx="128">
                  <c:v>0</c:v>
                </c:pt>
                <c:pt idx="129">
                  <c:v>0</c:v>
                </c:pt>
                <c:pt idx="130">
                  <c:v>0</c:v>
                </c:pt>
                <c:pt idx="131">
                  <c:v>-6.9565412211911495E-2</c:v>
                </c:pt>
              </c:numCache>
            </c:numRef>
          </c:val>
          <c:smooth val="0"/>
          <c:extLst>
            <c:ext xmlns:c16="http://schemas.microsoft.com/office/drawing/2014/chart" uri="{C3380CC4-5D6E-409C-BE32-E72D297353CC}">
              <c16:uniqueId val="{00000000-DB9B-4D02-B1AB-5057F42A4585}"/>
            </c:ext>
          </c:extLst>
        </c:ser>
        <c:ser>
          <c:idx val="1"/>
          <c:order val="1"/>
          <c:tx>
            <c:v>3 Month Moving Average of Month to Month</c:v>
          </c:tx>
          <c:spPr>
            <a:ln w="28575" cap="rnd">
              <a:solidFill>
                <a:schemeClr val="accent2"/>
              </a:solidFill>
              <a:round/>
            </a:ln>
            <a:effectLst/>
          </c:spPr>
          <c:marker>
            <c:symbol val="none"/>
          </c:marker>
          <c:cat>
            <c:numRef>
              <c:f>Sheet1!$B$6:$B$137</c:f>
              <c:numCache>
                <c:formatCode>General</c:formatCode>
                <c:ptCount val="132"/>
                <c:pt idx="0">
                  <c:v>1919.01</c:v>
                </c:pt>
                <c:pt idx="1">
                  <c:v>1919.02</c:v>
                </c:pt>
                <c:pt idx="2">
                  <c:v>1919.03</c:v>
                </c:pt>
                <c:pt idx="3">
                  <c:v>1919.04</c:v>
                </c:pt>
                <c:pt idx="4">
                  <c:v>1919.05</c:v>
                </c:pt>
                <c:pt idx="5">
                  <c:v>1919.06</c:v>
                </c:pt>
                <c:pt idx="6">
                  <c:v>1919.07</c:v>
                </c:pt>
                <c:pt idx="7">
                  <c:v>1919.08</c:v>
                </c:pt>
                <c:pt idx="8">
                  <c:v>1919.09</c:v>
                </c:pt>
                <c:pt idx="9">
                  <c:v>1919.1</c:v>
                </c:pt>
                <c:pt idx="10">
                  <c:v>1919.11</c:v>
                </c:pt>
                <c:pt idx="11">
                  <c:v>1919.12</c:v>
                </c:pt>
                <c:pt idx="12">
                  <c:v>1920.01</c:v>
                </c:pt>
                <c:pt idx="13">
                  <c:v>1920.02</c:v>
                </c:pt>
                <c:pt idx="14">
                  <c:v>1920.03</c:v>
                </c:pt>
                <c:pt idx="15">
                  <c:v>1920.04</c:v>
                </c:pt>
                <c:pt idx="16">
                  <c:v>1920.05</c:v>
                </c:pt>
                <c:pt idx="17">
                  <c:v>1920.06</c:v>
                </c:pt>
                <c:pt idx="18">
                  <c:v>1920.07</c:v>
                </c:pt>
                <c:pt idx="19">
                  <c:v>1920.08</c:v>
                </c:pt>
                <c:pt idx="20">
                  <c:v>1920.09</c:v>
                </c:pt>
                <c:pt idx="21">
                  <c:v>1920.1</c:v>
                </c:pt>
                <c:pt idx="22">
                  <c:v>1920.11</c:v>
                </c:pt>
                <c:pt idx="23">
                  <c:v>1920.12</c:v>
                </c:pt>
                <c:pt idx="24">
                  <c:v>1921.01</c:v>
                </c:pt>
                <c:pt idx="25">
                  <c:v>1921.02</c:v>
                </c:pt>
                <c:pt idx="26">
                  <c:v>1921.03</c:v>
                </c:pt>
                <c:pt idx="27">
                  <c:v>1921.04</c:v>
                </c:pt>
                <c:pt idx="28">
                  <c:v>1921.05</c:v>
                </c:pt>
                <c:pt idx="29">
                  <c:v>1921.06</c:v>
                </c:pt>
                <c:pt idx="30">
                  <c:v>1921.07</c:v>
                </c:pt>
                <c:pt idx="31">
                  <c:v>1921.08</c:v>
                </c:pt>
                <c:pt idx="32">
                  <c:v>1921.09</c:v>
                </c:pt>
                <c:pt idx="33">
                  <c:v>1921.1</c:v>
                </c:pt>
                <c:pt idx="34">
                  <c:v>1921.11</c:v>
                </c:pt>
                <c:pt idx="35">
                  <c:v>1921.12</c:v>
                </c:pt>
                <c:pt idx="36">
                  <c:v>1922.01</c:v>
                </c:pt>
                <c:pt idx="37">
                  <c:v>1922.02</c:v>
                </c:pt>
                <c:pt idx="38">
                  <c:v>1922.03</c:v>
                </c:pt>
                <c:pt idx="39">
                  <c:v>1922.04</c:v>
                </c:pt>
                <c:pt idx="40">
                  <c:v>1922.05</c:v>
                </c:pt>
                <c:pt idx="41">
                  <c:v>1922.06</c:v>
                </c:pt>
                <c:pt idx="42">
                  <c:v>1922.07</c:v>
                </c:pt>
                <c:pt idx="43">
                  <c:v>1922.08</c:v>
                </c:pt>
                <c:pt idx="44">
                  <c:v>1922.09</c:v>
                </c:pt>
                <c:pt idx="45">
                  <c:v>1922.1</c:v>
                </c:pt>
                <c:pt idx="46">
                  <c:v>1922.11</c:v>
                </c:pt>
                <c:pt idx="47">
                  <c:v>1922.12</c:v>
                </c:pt>
                <c:pt idx="48">
                  <c:v>1923.01</c:v>
                </c:pt>
                <c:pt idx="49">
                  <c:v>1923.02</c:v>
                </c:pt>
                <c:pt idx="50">
                  <c:v>1923.03</c:v>
                </c:pt>
                <c:pt idx="51">
                  <c:v>1923.04</c:v>
                </c:pt>
                <c:pt idx="52">
                  <c:v>1923.05</c:v>
                </c:pt>
                <c:pt idx="53">
                  <c:v>1923.06</c:v>
                </c:pt>
                <c:pt idx="54">
                  <c:v>1923.07</c:v>
                </c:pt>
                <c:pt idx="55">
                  <c:v>1923.08</c:v>
                </c:pt>
                <c:pt idx="56">
                  <c:v>1923.09</c:v>
                </c:pt>
                <c:pt idx="57">
                  <c:v>1923.1</c:v>
                </c:pt>
                <c:pt idx="58">
                  <c:v>1923.11</c:v>
                </c:pt>
                <c:pt idx="59">
                  <c:v>1923.12</c:v>
                </c:pt>
                <c:pt idx="60">
                  <c:v>1924.01</c:v>
                </c:pt>
                <c:pt idx="61">
                  <c:v>1924.02</c:v>
                </c:pt>
                <c:pt idx="62">
                  <c:v>1924.03</c:v>
                </c:pt>
                <c:pt idx="63">
                  <c:v>1924.04</c:v>
                </c:pt>
                <c:pt idx="64">
                  <c:v>1924.05</c:v>
                </c:pt>
                <c:pt idx="65">
                  <c:v>1924.06</c:v>
                </c:pt>
                <c:pt idx="66">
                  <c:v>1924.07</c:v>
                </c:pt>
                <c:pt idx="67">
                  <c:v>1924.08</c:v>
                </c:pt>
                <c:pt idx="68">
                  <c:v>1924.09</c:v>
                </c:pt>
                <c:pt idx="69">
                  <c:v>1924.1</c:v>
                </c:pt>
                <c:pt idx="70">
                  <c:v>1924.11</c:v>
                </c:pt>
                <c:pt idx="71">
                  <c:v>1924.12</c:v>
                </c:pt>
                <c:pt idx="72">
                  <c:v>1925.01</c:v>
                </c:pt>
                <c:pt idx="73">
                  <c:v>1925.02</c:v>
                </c:pt>
                <c:pt idx="74">
                  <c:v>1925.03</c:v>
                </c:pt>
                <c:pt idx="75">
                  <c:v>1925.04</c:v>
                </c:pt>
                <c:pt idx="76">
                  <c:v>1925.05</c:v>
                </c:pt>
                <c:pt idx="77">
                  <c:v>1925.06</c:v>
                </c:pt>
                <c:pt idx="78">
                  <c:v>1925.07</c:v>
                </c:pt>
                <c:pt idx="79">
                  <c:v>1925.08</c:v>
                </c:pt>
                <c:pt idx="80">
                  <c:v>1925.09</c:v>
                </c:pt>
                <c:pt idx="81">
                  <c:v>1925.1</c:v>
                </c:pt>
                <c:pt idx="82">
                  <c:v>1925.11</c:v>
                </c:pt>
                <c:pt idx="83">
                  <c:v>1925.12</c:v>
                </c:pt>
                <c:pt idx="84">
                  <c:v>1926.01</c:v>
                </c:pt>
                <c:pt idx="85">
                  <c:v>1926.02</c:v>
                </c:pt>
                <c:pt idx="86">
                  <c:v>1926.03</c:v>
                </c:pt>
                <c:pt idx="87">
                  <c:v>1926.04</c:v>
                </c:pt>
                <c:pt idx="88">
                  <c:v>1926.05</c:v>
                </c:pt>
                <c:pt idx="89">
                  <c:v>1926.06</c:v>
                </c:pt>
                <c:pt idx="90">
                  <c:v>1926.07</c:v>
                </c:pt>
                <c:pt idx="91">
                  <c:v>1926.08</c:v>
                </c:pt>
                <c:pt idx="92">
                  <c:v>1926.09</c:v>
                </c:pt>
                <c:pt idx="93">
                  <c:v>1926.1</c:v>
                </c:pt>
                <c:pt idx="94">
                  <c:v>1926.11</c:v>
                </c:pt>
                <c:pt idx="95">
                  <c:v>1926.12</c:v>
                </c:pt>
                <c:pt idx="96">
                  <c:v>1927.01</c:v>
                </c:pt>
                <c:pt idx="97">
                  <c:v>1927.02</c:v>
                </c:pt>
                <c:pt idx="98">
                  <c:v>1927.03</c:v>
                </c:pt>
                <c:pt idx="99">
                  <c:v>1927.04</c:v>
                </c:pt>
                <c:pt idx="100">
                  <c:v>1927.05</c:v>
                </c:pt>
                <c:pt idx="101">
                  <c:v>1927.06</c:v>
                </c:pt>
                <c:pt idx="102">
                  <c:v>1927.07</c:v>
                </c:pt>
                <c:pt idx="103">
                  <c:v>1927.08</c:v>
                </c:pt>
                <c:pt idx="104">
                  <c:v>1927.09</c:v>
                </c:pt>
                <c:pt idx="105">
                  <c:v>1927.1</c:v>
                </c:pt>
                <c:pt idx="106">
                  <c:v>1927.11</c:v>
                </c:pt>
                <c:pt idx="107">
                  <c:v>1927.12</c:v>
                </c:pt>
                <c:pt idx="108">
                  <c:v>1928.01</c:v>
                </c:pt>
                <c:pt idx="109">
                  <c:v>1928.02</c:v>
                </c:pt>
                <c:pt idx="110">
                  <c:v>1928.03</c:v>
                </c:pt>
                <c:pt idx="111">
                  <c:v>1928.04</c:v>
                </c:pt>
                <c:pt idx="112">
                  <c:v>1928.05</c:v>
                </c:pt>
                <c:pt idx="113">
                  <c:v>1928.06</c:v>
                </c:pt>
                <c:pt idx="114">
                  <c:v>1928.07</c:v>
                </c:pt>
                <c:pt idx="115">
                  <c:v>1928.08</c:v>
                </c:pt>
                <c:pt idx="116">
                  <c:v>1928.09</c:v>
                </c:pt>
                <c:pt idx="117">
                  <c:v>1928.1</c:v>
                </c:pt>
                <c:pt idx="118">
                  <c:v>1928.11</c:v>
                </c:pt>
                <c:pt idx="119">
                  <c:v>1928.12</c:v>
                </c:pt>
                <c:pt idx="120">
                  <c:v>1929.01</c:v>
                </c:pt>
                <c:pt idx="121">
                  <c:v>1929.02</c:v>
                </c:pt>
                <c:pt idx="122">
                  <c:v>1929.03</c:v>
                </c:pt>
                <c:pt idx="123">
                  <c:v>1929.04</c:v>
                </c:pt>
                <c:pt idx="124">
                  <c:v>1929.05</c:v>
                </c:pt>
                <c:pt idx="125">
                  <c:v>1929.06</c:v>
                </c:pt>
                <c:pt idx="126">
                  <c:v>1929.07</c:v>
                </c:pt>
                <c:pt idx="127">
                  <c:v>1929.08</c:v>
                </c:pt>
                <c:pt idx="128">
                  <c:v>1929.09</c:v>
                </c:pt>
                <c:pt idx="129">
                  <c:v>1929.1</c:v>
                </c:pt>
                <c:pt idx="130">
                  <c:v>1929.11</c:v>
                </c:pt>
                <c:pt idx="131">
                  <c:v>1929.12</c:v>
                </c:pt>
              </c:numCache>
            </c:numRef>
          </c:cat>
          <c:val>
            <c:numRef>
              <c:f>Sheet1!$D$6:$D$137</c:f>
              <c:numCache>
                <c:formatCode>0.00</c:formatCode>
                <c:ptCount val="132"/>
                <c:pt idx="0">
                  <c:v>-2.4615462297513341E-2</c:v>
                </c:pt>
                <c:pt idx="1">
                  <c:v>-2.4316184305528555E-2</c:v>
                </c:pt>
                <c:pt idx="2">
                  <c:v>4.8193354064698248E-2</c:v>
                </c:pt>
                <c:pt idx="3">
                  <c:v>0.16920951876275736</c:v>
                </c:pt>
                <c:pt idx="4">
                  <c:v>0.12012914839549976</c:v>
                </c:pt>
                <c:pt idx="5">
                  <c:v>0.16424594719109489</c:v>
                </c:pt>
                <c:pt idx="6">
                  <c:v>0.18500407060302296</c:v>
                </c:pt>
                <c:pt idx="7">
                  <c:v>0.20753934147604722</c:v>
                </c:pt>
                <c:pt idx="8">
                  <c:v>0.1577669282051874</c:v>
                </c:pt>
                <c:pt idx="9">
                  <c:v>0.17682437001798246</c:v>
                </c:pt>
                <c:pt idx="10">
                  <c:v>0.23985385907022846</c:v>
                </c:pt>
                <c:pt idx="11">
                  <c:v>0.25949990276289947</c:v>
                </c:pt>
                <c:pt idx="12">
                  <c:v>0.18751526102462807</c:v>
                </c:pt>
                <c:pt idx="13">
                  <c:v>0.1658268547133854</c:v>
                </c:pt>
                <c:pt idx="14">
                  <c:v>0.20206316054760745</c:v>
                </c:pt>
                <c:pt idx="15">
                  <c:v>0.21950644090333768</c:v>
                </c:pt>
                <c:pt idx="16">
                  <c:v>0.23652209290728984</c:v>
                </c:pt>
                <c:pt idx="17">
                  <c:v>9.7328402638122369E-2</c:v>
                </c:pt>
                <c:pt idx="18">
                  <c:v>-5.8680758991175648E-2</c:v>
                </c:pt>
                <c:pt idx="19">
                  <c:v>-0.17606754166709701</c:v>
                </c:pt>
                <c:pt idx="20">
                  <c:v>-0.17693301990730281</c:v>
                </c:pt>
                <c:pt idx="21">
                  <c:v>-9.9755793389008418E-2</c:v>
                </c:pt>
                <c:pt idx="22">
                  <c:v>-0.12183682993883482</c:v>
                </c:pt>
                <c:pt idx="23">
                  <c:v>-0.15267999396698584</c:v>
                </c:pt>
                <c:pt idx="24">
                  <c:v>-0.31753440872605526</c:v>
                </c:pt>
                <c:pt idx="25">
                  <c:v>-0.23348802488762854</c:v>
                </c:pt>
                <c:pt idx="26">
                  <c:v>-0.19410816357864169</c:v>
                </c:pt>
                <c:pt idx="27">
                  <c:v>-0.15514410014062627</c:v>
                </c:pt>
                <c:pt idx="28">
                  <c:v>-0.1560086312130767</c:v>
                </c:pt>
                <c:pt idx="29">
                  <c:v>-8.9389194767986679E-2</c:v>
                </c:pt>
                <c:pt idx="30">
                  <c:v>4.163336342344337E-16</c:v>
                </c:pt>
                <c:pt idx="31">
                  <c:v>-2.2792084458551177E-2</c:v>
                </c:pt>
                <c:pt idx="32">
                  <c:v>-4.545503460126038E-2</c:v>
                </c:pt>
                <c:pt idx="33">
                  <c:v>-6.8377733437200758E-2</c:v>
                </c:pt>
                <c:pt idx="34">
                  <c:v>-4.5977517702940007E-2</c:v>
                </c:pt>
                <c:pt idx="35">
                  <c:v>-6.8966276554410011E-2</c:v>
                </c:pt>
                <c:pt idx="36">
                  <c:v>-0.14035727744823345</c:v>
                </c:pt>
                <c:pt idx="37">
                  <c:v>-0.14119112832409556</c:v>
                </c:pt>
                <c:pt idx="38">
                  <c:v>-4.7619610025273255E-2</c:v>
                </c:pt>
                <c:pt idx="39">
                  <c:v>-4.7619610025273255E-2</c:v>
                </c:pt>
                <c:pt idx="40">
                  <c:v>0</c:v>
                </c:pt>
                <c:pt idx="41">
                  <c:v>2.3880667946015899E-2</c:v>
                </c:pt>
                <c:pt idx="42">
                  <c:v>-2.4024096240846698E-2</c:v>
                </c:pt>
                <c:pt idx="43">
                  <c:v>-2.4024096240846698E-2</c:v>
                </c:pt>
                <c:pt idx="44">
                  <c:v>-2.3880667946015687E-2</c:v>
                </c:pt>
                <c:pt idx="45">
                  <c:v>4.7904764186862812E-2</c:v>
                </c:pt>
                <c:pt idx="46">
                  <c:v>7.1643706266120918E-2</c:v>
                </c:pt>
                <c:pt idx="47">
                  <c:v>7.1429415037911004E-2</c:v>
                </c:pt>
                <c:pt idx="48">
                  <c:v>-3.5608413118886795E-2</c:v>
                </c:pt>
                <c:pt idx="49">
                  <c:v>-2.3738942079257863E-2</c:v>
                </c:pt>
                <c:pt idx="50">
                  <c:v>2.3738942079258103E-2</c:v>
                </c:pt>
                <c:pt idx="51">
                  <c:v>2.3738942079258103E-2</c:v>
                </c:pt>
                <c:pt idx="52">
                  <c:v>4.7337830588011387E-2</c:v>
                </c:pt>
                <c:pt idx="53">
                  <c:v>7.0383047561518239E-2</c:v>
                </c:pt>
                <c:pt idx="54">
                  <c:v>4.7059366318345841E-2</c:v>
                </c:pt>
                <c:pt idx="55">
                  <c:v>4.6784159052765117E-2</c:v>
                </c:pt>
                <c:pt idx="56">
                  <c:v>2.3188470737303842E-2</c:v>
                </c:pt>
                <c:pt idx="57">
                  <c:v>4.6512151980476237E-2</c:v>
                </c:pt>
                <c:pt idx="58">
                  <c:v>2.3188470737303662E-2</c:v>
                </c:pt>
                <c:pt idx="59">
                  <c:v>0</c:v>
                </c:pt>
                <c:pt idx="60">
                  <c:v>-3.4782706105955748E-2</c:v>
                </c:pt>
                <c:pt idx="61">
                  <c:v>-4.6512151980476223E-2</c:v>
                </c:pt>
                <c:pt idx="62">
                  <c:v>-6.9972629790068755E-2</c:v>
                </c:pt>
                <c:pt idx="63">
                  <c:v>-4.678415905276493E-2</c:v>
                </c:pt>
                <c:pt idx="64">
                  <c:v>-2.3460477809592536E-2</c:v>
                </c:pt>
                <c:pt idx="65">
                  <c:v>2.346047780959223E-2</c:v>
                </c:pt>
                <c:pt idx="66">
                  <c:v>-3.0531133177191805E-16</c:v>
                </c:pt>
                <c:pt idx="67">
                  <c:v>2.3460477809591925E-2</c:v>
                </c:pt>
                <c:pt idx="68">
                  <c:v>2.3323681243172269E-2</c:v>
                </c:pt>
                <c:pt idx="69">
                  <c:v>4.6784159052764805E-2</c:v>
                </c:pt>
                <c:pt idx="70">
                  <c:v>4.6512151980476237E-2</c:v>
                </c:pt>
                <c:pt idx="71">
                  <c:v>3.4782706105955491E-2</c:v>
                </c:pt>
                <c:pt idx="72">
                  <c:v>-3.4782706105955748E-2</c:v>
                </c:pt>
                <c:pt idx="73">
                  <c:v>-1.7115938296304497E-16</c:v>
                </c:pt>
                <c:pt idx="74">
                  <c:v>-2.3188470737304002E-2</c:v>
                </c:pt>
                <c:pt idx="75">
                  <c:v>2.3188470737303488E-2</c:v>
                </c:pt>
                <c:pt idx="76">
                  <c:v>4.5977517702939806E-2</c:v>
                </c:pt>
                <c:pt idx="77">
                  <c:v>0.11462102304150364</c:v>
                </c:pt>
                <c:pt idx="78">
                  <c:v>9.1432552304199985E-2</c:v>
                </c:pt>
                <c:pt idx="79">
                  <c:v>4.5455034601260012E-2</c:v>
                </c:pt>
                <c:pt idx="80">
                  <c:v>0</c:v>
                </c:pt>
                <c:pt idx="81">
                  <c:v>6.7228473265524766E-2</c:v>
                </c:pt>
                <c:pt idx="82">
                  <c:v>4.4944293067702867E-2</c:v>
                </c:pt>
                <c:pt idx="83">
                  <c:v>6.7416439601554301E-2</c:v>
                </c:pt>
                <c:pt idx="84">
                  <c:v>0</c:v>
                </c:pt>
                <c:pt idx="85">
                  <c:v>-2.2409022194678701E-2</c:v>
                </c:pt>
                <c:pt idx="86">
                  <c:v>3.0531133177191805E-16</c:v>
                </c:pt>
                <c:pt idx="87">
                  <c:v>-2.2409022194678396E-2</c:v>
                </c:pt>
                <c:pt idx="88">
                  <c:v>-2.2535270873024218E-2</c:v>
                </c:pt>
                <c:pt idx="89">
                  <c:v>-9.0399327668963594E-2</c:v>
                </c:pt>
                <c:pt idx="90">
                  <c:v>-9.0913004310225268E-2</c:v>
                </c:pt>
                <c:pt idx="91">
                  <c:v>-4.5455034601260463E-2</c:v>
                </c:pt>
                <c:pt idx="92">
                  <c:v>2.2792084458551101E-2</c:v>
                </c:pt>
                <c:pt idx="93">
                  <c:v>6.8377733437200688E-2</c:v>
                </c:pt>
                <c:pt idx="94">
                  <c:v>4.545503460126038E-2</c:v>
                </c:pt>
                <c:pt idx="95">
                  <c:v>3.3994425214063803E-2</c:v>
                </c:pt>
                <c:pt idx="96">
                  <c:v>-0.10256660015580114</c:v>
                </c:pt>
                <c:pt idx="97">
                  <c:v>-9.1432552304200387E-2</c:v>
                </c:pt>
                <c:pt idx="98">
                  <c:v>-4.5977517702940007E-2</c:v>
                </c:pt>
                <c:pt idx="99">
                  <c:v>0</c:v>
                </c:pt>
                <c:pt idx="100">
                  <c:v>6.8769602161491042E-2</c:v>
                </c:pt>
                <c:pt idx="101">
                  <c:v>-4.5334106838860555E-16</c:v>
                </c:pt>
                <c:pt idx="102">
                  <c:v>-4.624328960430394E-2</c:v>
                </c:pt>
                <c:pt idx="103">
                  <c:v>-6.876960216149168E-2</c:v>
                </c:pt>
                <c:pt idx="104">
                  <c:v>2.305481886699948E-2</c:v>
                </c:pt>
                <c:pt idx="105">
                  <c:v>2.318847073730369E-2</c:v>
                </c:pt>
                <c:pt idx="106">
                  <c:v>2.7755575615628914E-17</c:v>
                </c:pt>
                <c:pt idx="107">
                  <c:v>-3.4582228300499437E-2</c:v>
                </c:pt>
                <c:pt idx="108">
                  <c:v>-6.9768227970714594E-2</c:v>
                </c:pt>
                <c:pt idx="109">
                  <c:v>-4.6512151980476396E-2</c:v>
                </c:pt>
                <c:pt idx="110">
                  <c:v>-4.6512151980476396E-2</c:v>
                </c:pt>
                <c:pt idx="111">
                  <c:v>2.3323681243172575E-2</c:v>
                </c:pt>
                <c:pt idx="112">
                  <c:v>1.8041124150158794E-16</c:v>
                </c:pt>
                <c:pt idx="113">
                  <c:v>1.8041124150158794E-16</c:v>
                </c:pt>
                <c:pt idx="114">
                  <c:v>-2.3323681243172394E-2</c:v>
                </c:pt>
                <c:pt idx="115">
                  <c:v>4.6512151980475973E-2</c:v>
                </c:pt>
                <c:pt idx="116">
                  <c:v>2.3323681243172138E-2</c:v>
                </c:pt>
                <c:pt idx="117">
                  <c:v>2.3323681243172138E-2</c:v>
                </c:pt>
                <c:pt idx="118">
                  <c:v>-4.6512151980476223E-2</c:v>
                </c:pt>
                <c:pt idx="119">
                  <c:v>-3.498552186475859E-2</c:v>
                </c:pt>
                <c:pt idx="120">
                  <c:v>0</c:v>
                </c:pt>
                <c:pt idx="121">
                  <c:v>-2.3460477809592536E-2</c:v>
                </c:pt>
                <c:pt idx="122">
                  <c:v>-4.7059366318346063E-2</c:v>
                </c:pt>
                <c:pt idx="123">
                  <c:v>-2.3460477809592775E-2</c:v>
                </c:pt>
                <c:pt idx="124">
                  <c:v>2.3460477809591984E-2</c:v>
                </c:pt>
                <c:pt idx="125">
                  <c:v>9.3571518298821488E-2</c:v>
                </c:pt>
                <c:pt idx="126">
                  <c:v>6.99726297900682E-2</c:v>
                </c:pt>
                <c:pt idx="127">
                  <c:v>4.6512151980475973E-2</c:v>
                </c:pt>
                <c:pt idx="128">
                  <c:v>0</c:v>
                </c:pt>
                <c:pt idx="129">
                  <c:v>0</c:v>
                </c:pt>
                <c:pt idx="130">
                  <c:v>-2.3188470737303832E-2</c:v>
                </c:pt>
                <c:pt idx="131">
                  <c:v>-3.4782706105955748E-2</c:v>
                </c:pt>
              </c:numCache>
            </c:numRef>
          </c:val>
          <c:smooth val="0"/>
          <c:extLst>
            <c:ext xmlns:c16="http://schemas.microsoft.com/office/drawing/2014/chart" uri="{C3380CC4-5D6E-409C-BE32-E72D297353CC}">
              <c16:uniqueId val="{00000001-DB9B-4D02-B1AB-5057F42A4585}"/>
            </c:ext>
          </c:extLst>
        </c:ser>
        <c:ser>
          <c:idx val="2"/>
          <c:order val="2"/>
          <c:tx>
            <c:v>Monthly Inflation Rate, Year over Year</c:v>
          </c:tx>
          <c:spPr>
            <a:ln w="28575" cap="rnd">
              <a:solidFill>
                <a:schemeClr val="accent3"/>
              </a:solidFill>
              <a:round/>
            </a:ln>
            <a:effectLst/>
          </c:spPr>
          <c:marker>
            <c:symbol val="none"/>
          </c:marker>
          <c:cat>
            <c:numRef>
              <c:f>Sheet1!$B$6:$B$137</c:f>
              <c:numCache>
                <c:formatCode>General</c:formatCode>
                <c:ptCount val="132"/>
                <c:pt idx="0">
                  <c:v>1919.01</c:v>
                </c:pt>
                <c:pt idx="1">
                  <c:v>1919.02</c:v>
                </c:pt>
                <c:pt idx="2">
                  <c:v>1919.03</c:v>
                </c:pt>
                <c:pt idx="3">
                  <c:v>1919.04</c:v>
                </c:pt>
                <c:pt idx="4">
                  <c:v>1919.05</c:v>
                </c:pt>
                <c:pt idx="5">
                  <c:v>1919.06</c:v>
                </c:pt>
                <c:pt idx="6">
                  <c:v>1919.07</c:v>
                </c:pt>
                <c:pt idx="7">
                  <c:v>1919.08</c:v>
                </c:pt>
                <c:pt idx="8">
                  <c:v>1919.09</c:v>
                </c:pt>
                <c:pt idx="9">
                  <c:v>1919.1</c:v>
                </c:pt>
                <c:pt idx="10">
                  <c:v>1919.11</c:v>
                </c:pt>
                <c:pt idx="11">
                  <c:v>1919.12</c:v>
                </c:pt>
                <c:pt idx="12">
                  <c:v>1920.01</c:v>
                </c:pt>
                <c:pt idx="13">
                  <c:v>1920.02</c:v>
                </c:pt>
                <c:pt idx="14">
                  <c:v>1920.03</c:v>
                </c:pt>
                <c:pt idx="15">
                  <c:v>1920.04</c:v>
                </c:pt>
                <c:pt idx="16">
                  <c:v>1920.05</c:v>
                </c:pt>
                <c:pt idx="17">
                  <c:v>1920.06</c:v>
                </c:pt>
                <c:pt idx="18">
                  <c:v>1920.07</c:v>
                </c:pt>
                <c:pt idx="19">
                  <c:v>1920.08</c:v>
                </c:pt>
                <c:pt idx="20">
                  <c:v>1920.09</c:v>
                </c:pt>
                <c:pt idx="21">
                  <c:v>1920.1</c:v>
                </c:pt>
                <c:pt idx="22">
                  <c:v>1920.11</c:v>
                </c:pt>
                <c:pt idx="23">
                  <c:v>1920.12</c:v>
                </c:pt>
                <c:pt idx="24">
                  <c:v>1921.01</c:v>
                </c:pt>
                <c:pt idx="25">
                  <c:v>1921.02</c:v>
                </c:pt>
                <c:pt idx="26">
                  <c:v>1921.03</c:v>
                </c:pt>
                <c:pt idx="27">
                  <c:v>1921.04</c:v>
                </c:pt>
                <c:pt idx="28">
                  <c:v>1921.05</c:v>
                </c:pt>
                <c:pt idx="29">
                  <c:v>1921.06</c:v>
                </c:pt>
                <c:pt idx="30">
                  <c:v>1921.07</c:v>
                </c:pt>
                <c:pt idx="31">
                  <c:v>1921.08</c:v>
                </c:pt>
                <c:pt idx="32">
                  <c:v>1921.09</c:v>
                </c:pt>
                <c:pt idx="33">
                  <c:v>1921.1</c:v>
                </c:pt>
                <c:pt idx="34">
                  <c:v>1921.11</c:v>
                </c:pt>
                <c:pt idx="35">
                  <c:v>1921.12</c:v>
                </c:pt>
                <c:pt idx="36">
                  <c:v>1922.01</c:v>
                </c:pt>
                <c:pt idx="37">
                  <c:v>1922.02</c:v>
                </c:pt>
                <c:pt idx="38">
                  <c:v>1922.03</c:v>
                </c:pt>
                <c:pt idx="39">
                  <c:v>1922.04</c:v>
                </c:pt>
                <c:pt idx="40">
                  <c:v>1922.05</c:v>
                </c:pt>
                <c:pt idx="41">
                  <c:v>1922.06</c:v>
                </c:pt>
                <c:pt idx="42">
                  <c:v>1922.07</c:v>
                </c:pt>
                <c:pt idx="43">
                  <c:v>1922.08</c:v>
                </c:pt>
                <c:pt idx="44">
                  <c:v>1922.09</c:v>
                </c:pt>
                <c:pt idx="45">
                  <c:v>1922.1</c:v>
                </c:pt>
                <c:pt idx="46">
                  <c:v>1922.11</c:v>
                </c:pt>
                <c:pt idx="47">
                  <c:v>1922.12</c:v>
                </c:pt>
                <c:pt idx="48">
                  <c:v>1923.01</c:v>
                </c:pt>
                <c:pt idx="49">
                  <c:v>1923.02</c:v>
                </c:pt>
                <c:pt idx="50">
                  <c:v>1923.03</c:v>
                </c:pt>
                <c:pt idx="51">
                  <c:v>1923.04</c:v>
                </c:pt>
                <c:pt idx="52">
                  <c:v>1923.05</c:v>
                </c:pt>
                <c:pt idx="53">
                  <c:v>1923.06</c:v>
                </c:pt>
                <c:pt idx="54">
                  <c:v>1923.07</c:v>
                </c:pt>
                <c:pt idx="55">
                  <c:v>1923.08</c:v>
                </c:pt>
                <c:pt idx="56">
                  <c:v>1923.09</c:v>
                </c:pt>
                <c:pt idx="57">
                  <c:v>1923.1</c:v>
                </c:pt>
                <c:pt idx="58">
                  <c:v>1923.11</c:v>
                </c:pt>
                <c:pt idx="59">
                  <c:v>1923.12</c:v>
                </c:pt>
                <c:pt idx="60">
                  <c:v>1924.01</c:v>
                </c:pt>
                <c:pt idx="61">
                  <c:v>1924.02</c:v>
                </c:pt>
                <c:pt idx="62">
                  <c:v>1924.03</c:v>
                </c:pt>
                <c:pt idx="63">
                  <c:v>1924.04</c:v>
                </c:pt>
                <c:pt idx="64">
                  <c:v>1924.05</c:v>
                </c:pt>
                <c:pt idx="65">
                  <c:v>1924.06</c:v>
                </c:pt>
                <c:pt idx="66">
                  <c:v>1924.07</c:v>
                </c:pt>
                <c:pt idx="67">
                  <c:v>1924.08</c:v>
                </c:pt>
                <c:pt idx="68">
                  <c:v>1924.09</c:v>
                </c:pt>
                <c:pt idx="69">
                  <c:v>1924.1</c:v>
                </c:pt>
                <c:pt idx="70">
                  <c:v>1924.11</c:v>
                </c:pt>
                <c:pt idx="71">
                  <c:v>1924.12</c:v>
                </c:pt>
                <c:pt idx="72">
                  <c:v>1925.01</c:v>
                </c:pt>
                <c:pt idx="73">
                  <c:v>1925.02</c:v>
                </c:pt>
                <c:pt idx="74">
                  <c:v>1925.03</c:v>
                </c:pt>
                <c:pt idx="75">
                  <c:v>1925.04</c:v>
                </c:pt>
                <c:pt idx="76">
                  <c:v>1925.05</c:v>
                </c:pt>
                <c:pt idx="77">
                  <c:v>1925.06</c:v>
                </c:pt>
                <c:pt idx="78">
                  <c:v>1925.07</c:v>
                </c:pt>
                <c:pt idx="79">
                  <c:v>1925.08</c:v>
                </c:pt>
                <c:pt idx="80">
                  <c:v>1925.09</c:v>
                </c:pt>
                <c:pt idx="81">
                  <c:v>1925.1</c:v>
                </c:pt>
                <c:pt idx="82">
                  <c:v>1925.11</c:v>
                </c:pt>
                <c:pt idx="83">
                  <c:v>1925.12</c:v>
                </c:pt>
                <c:pt idx="84">
                  <c:v>1926.01</c:v>
                </c:pt>
                <c:pt idx="85">
                  <c:v>1926.02</c:v>
                </c:pt>
                <c:pt idx="86">
                  <c:v>1926.03</c:v>
                </c:pt>
                <c:pt idx="87">
                  <c:v>1926.04</c:v>
                </c:pt>
                <c:pt idx="88">
                  <c:v>1926.05</c:v>
                </c:pt>
                <c:pt idx="89">
                  <c:v>1926.06</c:v>
                </c:pt>
                <c:pt idx="90">
                  <c:v>1926.07</c:v>
                </c:pt>
                <c:pt idx="91">
                  <c:v>1926.08</c:v>
                </c:pt>
                <c:pt idx="92">
                  <c:v>1926.09</c:v>
                </c:pt>
                <c:pt idx="93">
                  <c:v>1926.1</c:v>
                </c:pt>
                <c:pt idx="94">
                  <c:v>1926.11</c:v>
                </c:pt>
                <c:pt idx="95">
                  <c:v>1926.12</c:v>
                </c:pt>
                <c:pt idx="96">
                  <c:v>1927.01</c:v>
                </c:pt>
                <c:pt idx="97">
                  <c:v>1927.02</c:v>
                </c:pt>
                <c:pt idx="98">
                  <c:v>1927.03</c:v>
                </c:pt>
                <c:pt idx="99">
                  <c:v>1927.04</c:v>
                </c:pt>
                <c:pt idx="100">
                  <c:v>1927.05</c:v>
                </c:pt>
                <c:pt idx="101">
                  <c:v>1927.06</c:v>
                </c:pt>
                <c:pt idx="102">
                  <c:v>1927.07</c:v>
                </c:pt>
                <c:pt idx="103">
                  <c:v>1927.08</c:v>
                </c:pt>
                <c:pt idx="104">
                  <c:v>1927.09</c:v>
                </c:pt>
                <c:pt idx="105">
                  <c:v>1927.1</c:v>
                </c:pt>
                <c:pt idx="106">
                  <c:v>1927.11</c:v>
                </c:pt>
                <c:pt idx="107">
                  <c:v>1927.12</c:v>
                </c:pt>
                <c:pt idx="108">
                  <c:v>1928.01</c:v>
                </c:pt>
                <c:pt idx="109">
                  <c:v>1928.02</c:v>
                </c:pt>
                <c:pt idx="110">
                  <c:v>1928.03</c:v>
                </c:pt>
                <c:pt idx="111">
                  <c:v>1928.04</c:v>
                </c:pt>
                <c:pt idx="112">
                  <c:v>1928.05</c:v>
                </c:pt>
                <c:pt idx="113">
                  <c:v>1928.06</c:v>
                </c:pt>
                <c:pt idx="114">
                  <c:v>1928.07</c:v>
                </c:pt>
                <c:pt idx="115">
                  <c:v>1928.08</c:v>
                </c:pt>
                <c:pt idx="116">
                  <c:v>1928.09</c:v>
                </c:pt>
                <c:pt idx="117">
                  <c:v>1928.1</c:v>
                </c:pt>
                <c:pt idx="118">
                  <c:v>1928.11</c:v>
                </c:pt>
                <c:pt idx="119">
                  <c:v>1928.12</c:v>
                </c:pt>
                <c:pt idx="120">
                  <c:v>1929.01</c:v>
                </c:pt>
                <c:pt idx="121">
                  <c:v>1929.02</c:v>
                </c:pt>
                <c:pt idx="122">
                  <c:v>1929.03</c:v>
                </c:pt>
                <c:pt idx="123">
                  <c:v>1929.04</c:v>
                </c:pt>
                <c:pt idx="124">
                  <c:v>1929.05</c:v>
                </c:pt>
                <c:pt idx="125">
                  <c:v>1929.06</c:v>
                </c:pt>
                <c:pt idx="126">
                  <c:v>1929.07</c:v>
                </c:pt>
                <c:pt idx="127">
                  <c:v>1929.08</c:v>
                </c:pt>
                <c:pt idx="128">
                  <c:v>1929.09</c:v>
                </c:pt>
                <c:pt idx="129">
                  <c:v>1929.1</c:v>
                </c:pt>
                <c:pt idx="130">
                  <c:v>1929.11</c:v>
                </c:pt>
                <c:pt idx="131">
                  <c:v>1929.12</c:v>
                </c:pt>
              </c:numCache>
            </c:numRef>
          </c:cat>
          <c:val>
            <c:numRef>
              <c:f>Sheet1!$E$6:$E$137</c:f>
              <c:numCache>
                <c:formatCode>0.00</c:formatCode>
                <c:ptCount val="132"/>
                <c:pt idx="0">
                  <c:v>0.16430305129127634</c:v>
                </c:pt>
                <c:pt idx="1">
                  <c:v>0.1388364448542157</c:v>
                </c:pt>
                <c:pt idx="2">
                  <c:v>0.15822400521489399</c:v>
                </c:pt>
                <c:pt idx="3">
                  <c:v>0.16216675481549436</c:v>
                </c:pt>
                <c:pt idx="4">
                  <c:v>0.15316497250249897</c:v>
                </c:pt>
                <c:pt idx="5">
                  <c:v>0.13946612814433712</c:v>
                </c:pt>
                <c:pt idx="6">
                  <c:v>0.14177546239960459</c:v>
                </c:pt>
                <c:pt idx="7">
                  <c:v>0.13919713016019997</c:v>
                </c:pt>
                <c:pt idx="8">
                  <c:v>0.12553774494377726</c:v>
                </c:pt>
                <c:pt idx="9">
                  <c:v>0.1233232160319989</c:v>
                </c:pt>
                <c:pt idx="10">
                  <c:v>0.12660562427156238</c:v>
                </c:pt>
                <c:pt idx="11">
                  <c:v>0.13580154115906162</c:v>
                </c:pt>
                <c:pt idx="12">
                  <c:v>0.15674471500430492</c:v>
                </c:pt>
                <c:pt idx="13">
                  <c:v>0.18540322333136275</c:v>
                </c:pt>
                <c:pt idx="14">
                  <c:v>0.18333730091379005</c:v>
                </c:pt>
                <c:pt idx="15">
                  <c:v>0.19521216662503235</c:v>
                </c:pt>
                <c:pt idx="16">
                  <c:v>0.19797745386650781</c:v>
                </c:pt>
                <c:pt idx="17">
                  <c:v>0.21243553704173762</c:v>
                </c:pt>
                <c:pt idx="18">
                  <c:v>0.17848278048678903</c:v>
                </c:pt>
                <c:pt idx="19">
                  <c:v>0.13705624646795816</c:v>
                </c:pt>
                <c:pt idx="20">
                  <c:v>0.1165338162559514</c:v>
                </c:pt>
                <c:pt idx="21">
                  <c:v>9.4807793458666412E-2</c:v>
                </c:pt>
                <c:pt idx="22">
                  <c:v>6.7911205616210363E-2</c:v>
                </c:pt>
                <c:pt idx="23">
                  <c:v>2.6111144003685804E-2</c:v>
                </c:pt>
                <c:pt idx="24">
                  <c:v>-1.5666116744399463E-2</c:v>
                </c:pt>
                <c:pt idx="25">
                  <c:v>-5.8063800954761206E-2</c:v>
                </c:pt>
                <c:pt idx="26">
                  <c:v>-7.3717575896567439E-2</c:v>
                </c:pt>
                <c:pt idx="27">
                  <c:v>-0.11470894777596156</c:v>
                </c:pt>
                <c:pt idx="28">
                  <c:v>-0.15172643621575199</c:v>
                </c:pt>
                <c:pt idx="29">
                  <c:v>-0.17185025692665901</c:v>
                </c:pt>
                <c:pt idx="30">
                  <c:v>-0.16138834712748887</c:v>
                </c:pt>
                <c:pt idx="31">
                  <c:v>-0.13705624646795828</c:v>
                </c:pt>
                <c:pt idx="32">
                  <c:v>-0.13353139262452263</c:v>
                </c:pt>
                <c:pt idx="33">
                  <c:v>-0.1285188508009783</c:v>
                </c:pt>
                <c:pt idx="34">
                  <c:v>-0.12921173148000634</c:v>
                </c:pt>
                <c:pt idx="35">
                  <c:v>-0.11456656456554913</c:v>
                </c:pt>
                <c:pt idx="36">
                  <c:v>-0.11712535723741281</c:v>
                </c:pt>
                <c:pt idx="37">
                  <c:v>-8.5037042685912181E-2</c:v>
                </c:pt>
                <c:pt idx="38">
                  <c:v>-9.1492340424665933E-2</c:v>
                </c:pt>
                <c:pt idx="39">
                  <c:v>-8.0503218849070787E-2</c:v>
                </c:pt>
                <c:pt idx="40">
                  <c:v>-5.8155920157074069E-2</c:v>
                </c:pt>
                <c:pt idx="41">
                  <c:v>-5.2490182621396805E-2</c:v>
                </c:pt>
                <c:pt idx="42">
                  <c:v>-5.2185753170570191E-2</c:v>
                </c:pt>
                <c:pt idx="43">
                  <c:v>-6.4161944217285771E-2</c:v>
                </c:pt>
                <c:pt idx="44">
                  <c:v>-5.2798185566970766E-2</c:v>
                </c:pt>
                <c:pt idx="45">
                  <c:v>-4.6792161506758939E-2</c:v>
                </c:pt>
                <c:pt idx="46">
                  <c:v>-3.5091319811269943E-2</c:v>
                </c:pt>
                <c:pt idx="47">
                  <c:v>-2.3392879574705577E-2</c:v>
                </c:pt>
                <c:pt idx="48">
                  <c:v>-5.9347355198144658E-3</c:v>
                </c:pt>
                <c:pt idx="49">
                  <c:v>-5.9347355198144658E-3</c:v>
                </c:pt>
                <c:pt idx="50">
                  <c:v>5.9701669865039747E-3</c:v>
                </c:pt>
                <c:pt idx="51">
                  <c:v>1.1904902506318239E-2</c:v>
                </c:pt>
                <c:pt idx="52">
                  <c:v>1.1904902506318239E-2</c:v>
                </c:pt>
                <c:pt idx="53">
                  <c:v>1.7804624633506686E-2</c:v>
                </c:pt>
                <c:pt idx="54">
                  <c:v>2.3530497410194036E-2</c:v>
                </c:pt>
                <c:pt idx="55">
                  <c:v>2.9675768146116541E-2</c:v>
                </c:pt>
                <c:pt idx="56">
                  <c:v>3.5506688456909602E-2</c:v>
                </c:pt>
                <c:pt idx="57">
                  <c:v>3.5297782081023896E-2</c:v>
                </c:pt>
                <c:pt idx="58">
                  <c:v>2.9327615094519921E-2</c:v>
                </c:pt>
                <c:pt idx="59">
                  <c:v>2.3392879574705594E-2</c:v>
                </c:pt>
                <c:pt idx="60">
                  <c:v>2.9327615094519921E-2</c:v>
                </c:pt>
                <c:pt idx="61">
                  <c:v>2.3530497410194036E-2</c:v>
                </c:pt>
                <c:pt idx="62">
                  <c:v>1.7699577099400857E-2</c:v>
                </c:pt>
                <c:pt idx="63">
                  <c:v>5.899722127188322E-3</c:v>
                </c:pt>
                <c:pt idx="64">
                  <c:v>5.899722127188322E-3</c:v>
                </c:pt>
                <c:pt idx="65">
                  <c:v>0</c:v>
                </c:pt>
                <c:pt idx="66">
                  <c:v>-5.8309203107930986E-3</c:v>
                </c:pt>
                <c:pt idx="67">
                  <c:v>-5.8651194523981339E-3</c:v>
                </c:pt>
                <c:pt idx="68">
                  <c:v>-5.8309203107930986E-3</c:v>
                </c:pt>
                <c:pt idx="69">
                  <c:v>-5.7971176843259579E-3</c:v>
                </c:pt>
                <c:pt idx="70">
                  <c:v>-5.7971176843259579E-3</c:v>
                </c:pt>
                <c:pt idx="71">
                  <c:v>0</c:v>
                </c:pt>
                <c:pt idx="72">
                  <c:v>0</c:v>
                </c:pt>
                <c:pt idx="73">
                  <c:v>0</c:v>
                </c:pt>
                <c:pt idx="74">
                  <c:v>1.1628037995118993E-2</c:v>
                </c:pt>
                <c:pt idx="75">
                  <c:v>1.1696039763191236E-2</c:v>
                </c:pt>
                <c:pt idx="76">
                  <c:v>1.7493157447517119E-2</c:v>
                </c:pt>
                <c:pt idx="77">
                  <c:v>2.8987536873252187E-2</c:v>
                </c:pt>
                <c:pt idx="78">
                  <c:v>3.4486176071169189E-2</c:v>
                </c:pt>
                <c:pt idx="79">
                  <c:v>4.035129552356724E-2</c:v>
                </c:pt>
                <c:pt idx="80">
                  <c:v>3.4486176071169189E-2</c:v>
                </c:pt>
                <c:pt idx="81">
                  <c:v>2.8655255760376148E-2</c:v>
                </c:pt>
                <c:pt idx="82">
                  <c:v>4.5462374076757413E-2</c:v>
                </c:pt>
                <c:pt idx="83">
                  <c:v>3.4094211342975925E-2</c:v>
                </c:pt>
                <c:pt idx="84">
                  <c:v>3.4094211342975925E-2</c:v>
                </c:pt>
                <c:pt idx="85">
                  <c:v>3.989132902730181E-2</c:v>
                </c:pt>
                <c:pt idx="86">
                  <c:v>2.8491955794306242E-2</c:v>
                </c:pt>
                <c:pt idx="87">
                  <c:v>3.989132902730181E-2</c:v>
                </c:pt>
                <c:pt idx="88">
                  <c:v>2.8491955794306242E-2</c:v>
                </c:pt>
                <c:pt idx="89">
                  <c:v>1.1363758650315003E-2</c:v>
                </c:pt>
                <c:pt idx="90">
                  <c:v>-1.1363758650315095E-2</c:v>
                </c:pt>
                <c:pt idx="91">
                  <c:v>-1.7094433359300183E-2</c:v>
                </c:pt>
                <c:pt idx="92">
                  <c:v>-1.1363758650315095E-2</c:v>
                </c:pt>
                <c:pt idx="93">
                  <c:v>-5.6657375356771959E-3</c:v>
                </c:pt>
                <c:pt idx="94">
                  <c:v>-1.6807118316381289E-2</c:v>
                </c:pt>
                <c:pt idx="95">
                  <c:v>-1.1236073266925842E-2</c:v>
                </c:pt>
                <c:pt idx="96">
                  <c:v>-2.2599831917240919E-2</c:v>
                </c:pt>
                <c:pt idx="97">
                  <c:v>-2.8330506626225996E-2</c:v>
                </c:pt>
                <c:pt idx="98">
                  <c:v>-2.8491955794306158E-2</c:v>
                </c:pt>
                <c:pt idx="99">
                  <c:v>-3.4094211342975897E-2</c:v>
                </c:pt>
                <c:pt idx="100">
                  <c:v>-2.2728251077556289E-2</c:v>
                </c:pt>
                <c:pt idx="101">
                  <c:v>-5.6657375356771959E-3</c:v>
                </c:pt>
                <c:pt idx="102">
                  <c:v>-1.1494379425735021E-2</c:v>
                </c:pt>
                <c:pt idx="103">
                  <c:v>-1.1560822401075971E-2</c:v>
                </c:pt>
                <c:pt idx="104">
                  <c:v>-1.1494379425735021E-2</c:v>
                </c:pt>
                <c:pt idx="105">
                  <c:v>-1.1428695823622968E-2</c:v>
                </c:pt>
                <c:pt idx="106">
                  <c:v>-2.2858138076050097E-2</c:v>
                </c:pt>
                <c:pt idx="107">
                  <c:v>-2.2858138076050097E-2</c:v>
                </c:pt>
                <c:pt idx="108">
                  <c:v>-1.1494379425735021E-2</c:v>
                </c:pt>
                <c:pt idx="109">
                  <c:v>-1.7391742711868996E-2</c:v>
                </c:pt>
                <c:pt idx="110">
                  <c:v>-1.1628037995119099E-2</c:v>
                </c:pt>
                <c:pt idx="111">
                  <c:v>-1.1628037995119099E-2</c:v>
                </c:pt>
                <c:pt idx="112">
                  <c:v>-1.1560822401075971E-2</c:v>
                </c:pt>
                <c:pt idx="113">
                  <c:v>-2.8820438535491971E-2</c:v>
                </c:pt>
                <c:pt idx="114">
                  <c:v>-1.1628037995119099E-2</c:v>
                </c:pt>
                <c:pt idx="115">
                  <c:v>-5.8309203107930986E-3</c:v>
                </c:pt>
                <c:pt idx="116">
                  <c:v>0</c:v>
                </c:pt>
                <c:pt idx="117">
                  <c:v>-1.1560822401075971E-2</c:v>
                </c:pt>
                <c:pt idx="118">
                  <c:v>-5.7971176843259579E-3</c:v>
                </c:pt>
                <c:pt idx="119">
                  <c:v>-1.1628037995119099E-2</c:v>
                </c:pt>
                <c:pt idx="120">
                  <c:v>-1.1628037995119099E-2</c:v>
                </c:pt>
                <c:pt idx="121">
                  <c:v>0</c:v>
                </c:pt>
                <c:pt idx="122">
                  <c:v>-5.8651194523981339E-3</c:v>
                </c:pt>
                <c:pt idx="123">
                  <c:v>-1.1764841579586483E-2</c:v>
                </c:pt>
                <c:pt idx="124">
                  <c:v>-1.1696039763191187E-2</c:v>
                </c:pt>
                <c:pt idx="125">
                  <c:v>0</c:v>
                </c:pt>
                <c:pt idx="126">
                  <c:v>1.1628037995118993E-2</c:v>
                </c:pt>
                <c:pt idx="127">
                  <c:v>1.1628037995118993E-2</c:v>
                </c:pt>
                <c:pt idx="128">
                  <c:v>0</c:v>
                </c:pt>
                <c:pt idx="129">
                  <c:v>5.7971176843259146E-3</c:v>
                </c:pt>
                <c:pt idx="130">
                  <c:v>5.7971176843259146E-3</c:v>
                </c:pt>
                <c:pt idx="131">
                  <c:v>5.8309203107931437E-3</c:v>
                </c:pt>
              </c:numCache>
            </c:numRef>
          </c:val>
          <c:smooth val="0"/>
          <c:extLst>
            <c:ext xmlns:c16="http://schemas.microsoft.com/office/drawing/2014/chart" uri="{C3380CC4-5D6E-409C-BE32-E72D297353CC}">
              <c16:uniqueId val="{00000002-DB9B-4D02-B1AB-5057F42A4585}"/>
            </c:ext>
          </c:extLst>
        </c:ser>
        <c:dLbls>
          <c:showLegendKey val="0"/>
          <c:showVal val="0"/>
          <c:showCatName val="0"/>
          <c:showSerName val="0"/>
          <c:showPercent val="0"/>
          <c:showBubbleSize val="0"/>
        </c:dLbls>
        <c:smooth val="0"/>
        <c:axId val="319842712"/>
        <c:axId val="319840752"/>
      </c:lineChart>
      <c:catAx>
        <c:axId val="31984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840752"/>
        <c:crosses val="autoZero"/>
        <c:auto val="1"/>
        <c:lblAlgn val="ctr"/>
        <c:lblOffset val="100"/>
        <c:noMultiLvlLbl val="0"/>
      </c:catAx>
      <c:valAx>
        <c:axId val="3198407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842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6</a:t>
            </a:r>
          </a:p>
          <a:p>
            <a:pPr>
              <a:defRPr sz="1400" b="0" i="0" u="none" strike="noStrike" kern="1200" spc="0" baseline="0">
                <a:solidFill>
                  <a:schemeClr val="tx1">
                    <a:lumMod val="65000"/>
                    <a:lumOff val="35000"/>
                  </a:schemeClr>
                </a:solidFill>
                <a:latin typeface="+mn-lt"/>
                <a:ea typeface="+mn-ea"/>
                <a:cs typeface="+mn-cs"/>
              </a:defRPr>
            </a:pPr>
            <a:r>
              <a:rPr lang="en-US"/>
              <a:t>Taylor Rule, United States, 1919-1929</a:t>
            </a:r>
          </a:p>
        </c:rich>
      </c:tx>
      <c:overlay val="0"/>
      <c:spPr>
        <a:noFill/>
        <a:ln>
          <a:noFill/>
        </a:ln>
        <a:effectLst/>
      </c:spPr>
    </c:title>
    <c:autoTitleDeleted val="0"/>
    <c:plotArea>
      <c:layout>
        <c:manualLayout>
          <c:layoutTarget val="inner"/>
          <c:xMode val="edge"/>
          <c:yMode val="edge"/>
          <c:x val="4.6403449568803899E-2"/>
          <c:y val="6.5430455879361943E-2"/>
          <c:w val="0.90756480439945009"/>
          <c:h val="0.8816974169741697"/>
        </c:manualLayout>
      </c:layout>
      <c:lineChart>
        <c:grouping val="standard"/>
        <c:varyColors val="0"/>
        <c:ser>
          <c:idx val="0"/>
          <c:order val="0"/>
          <c:spPr>
            <a:ln w="28575" cap="rnd">
              <a:solidFill>
                <a:schemeClr val="accent1"/>
              </a:solidFill>
              <a:round/>
            </a:ln>
            <a:effectLst/>
          </c:spPr>
          <c:marker>
            <c:symbol val="none"/>
          </c:marker>
          <c:cat>
            <c:numRef>
              <c:f>'60 percent elasticity of GNP'!$A$12:$A$143</c:f>
              <c:numCache>
                <c:formatCode>yyyy\-mm\-dd</c:formatCode>
                <c:ptCount val="132"/>
                <c:pt idx="0">
                  <c:v>6941</c:v>
                </c:pt>
                <c:pt idx="1">
                  <c:v>6972</c:v>
                </c:pt>
                <c:pt idx="2">
                  <c:v>7000</c:v>
                </c:pt>
                <c:pt idx="3">
                  <c:v>7031</c:v>
                </c:pt>
                <c:pt idx="4">
                  <c:v>7061</c:v>
                </c:pt>
                <c:pt idx="5">
                  <c:v>7092</c:v>
                </c:pt>
                <c:pt idx="6">
                  <c:v>7122</c:v>
                </c:pt>
                <c:pt idx="7">
                  <c:v>7153</c:v>
                </c:pt>
                <c:pt idx="8">
                  <c:v>7184</c:v>
                </c:pt>
                <c:pt idx="9">
                  <c:v>7214</c:v>
                </c:pt>
                <c:pt idx="10">
                  <c:v>7245</c:v>
                </c:pt>
                <c:pt idx="11">
                  <c:v>7275</c:v>
                </c:pt>
                <c:pt idx="12">
                  <c:v>7306</c:v>
                </c:pt>
                <c:pt idx="13">
                  <c:v>7337</c:v>
                </c:pt>
                <c:pt idx="14">
                  <c:v>7366</c:v>
                </c:pt>
                <c:pt idx="15">
                  <c:v>7397</c:v>
                </c:pt>
                <c:pt idx="16">
                  <c:v>7427</c:v>
                </c:pt>
                <c:pt idx="17">
                  <c:v>7458</c:v>
                </c:pt>
                <c:pt idx="18">
                  <c:v>7488</c:v>
                </c:pt>
                <c:pt idx="19">
                  <c:v>7519</c:v>
                </c:pt>
                <c:pt idx="20">
                  <c:v>7550</c:v>
                </c:pt>
                <c:pt idx="21">
                  <c:v>7580</c:v>
                </c:pt>
                <c:pt idx="22">
                  <c:v>7611</c:v>
                </c:pt>
                <c:pt idx="23">
                  <c:v>7641</c:v>
                </c:pt>
                <c:pt idx="24">
                  <c:v>7672</c:v>
                </c:pt>
                <c:pt idx="25">
                  <c:v>7703</c:v>
                </c:pt>
                <c:pt idx="26">
                  <c:v>7731</c:v>
                </c:pt>
                <c:pt idx="27">
                  <c:v>7762</c:v>
                </c:pt>
                <c:pt idx="28">
                  <c:v>7792</c:v>
                </c:pt>
                <c:pt idx="29">
                  <c:v>7823</c:v>
                </c:pt>
                <c:pt idx="30">
                  <c:v>7853</c:v>
                </c:pt>
                <c:pt idx="31">
                  <c:v>7884</c:v>
                </c:pt>
                <c:pt idx="32">
                  <c:v>7915</c:v>
                </c:pt>
                <c:pt idx="33">
                  <c:v>7945</c:v>
                </c:pt>
                <c:pt idx="34">
                  <c:v>7976</c:v>
                </c:pt>
                <c:pt idx="35">
                  <c:v>8006</c:v>
                </c:pt>
                <c:pt idx="36">
                  <c:v>8037</c:v>
                </c:pt>
                <c:pt idx="37">
                  <c:v>8068</c:v>
                </c:pt>
                <c:pt idx="38">
                  <c:v>8096</c:v>
                </c:pt>
                <c:pt idx="39">
                  <c:v>8127</c:v>
                </c:pt>
                <c:pt idx="40">
                  <c:v>8157</c:v>
                </c:pt>
                <c:pt idx="41">
                  <c:v>8188</c:v>
                </c:pt>
                <c:pt idx="42">
                  <c:v>8218</c:v>
                </c:pt>
                <c:pt idx="43">
                  <c:v>8249</c:v>
                </c:pt>
                <c:pt idx="44">
                  <c:v>8280</c:v>
                </c:pt>
                <c:pt idx="45">
                  <c:v>8310</c:v>
                </c:pt>
                <c:pt idx="46">
                  <c:v>8341</c:v>
                </c:pt>
                <c:pt idx="47">
                  <c:v>8371</c:v>
                </c:pt>
                <c:pt idx="48">
                  <c:v>8402</c:v>
                </c:pt>
                <c:pt idx="49">
                  <c:v>8433</c:v>
                </c:pt>
                <c:pt idx="50">
                  <c:v>8461</c:v>
                </c:pt>
                <c:pt idx="51">
                  <c:v>8492</c:v>
                </c:pt>
                <c:pt idx="52">
                  <c:v>8522</c:v>
                </c:pt>
                <c:pt idx="53">
                  <c:v>8553</c:v>
                </c:pt>
                <c:pt idx="54">
                  <c:v>8583</c:v>
                </c:pt>
                <c:pt idx="55">
                  <c:v>8614</c:v>
                </c:pt>
                <c:pt idx="56">
                  <c:v>8645</c:v>
                </c:pt>
                <c:pt idx="57">
                  <c:v>8675</c:v>
                </c:pt>
                <c:pt idx="58">
                  <c:v>8706</c:v>
                </c:pt>
                <c:pt idx="59">
                  <c:v>8736</c:v>
                </c:pt>
                <c:pt idx="60">
                  <c:v>8767</c:v>
                </c:pt>
                <c:pt idx="61">
                  <c:v>8798</c:v>
                </c:pt>
                <c:pt idx="62">
                  <c:v>8827</c:v>
                </c:pt>
                <c:pt idx="63">
                  <c:v>8858</c:v>
                </c:pt>
                <c:pt idx="64">
                  <c:v>8888</c:v>
                </c:pt>
                <c:pt idx="65">
                  <c:v>8919</c:v>
                </c:pt>
                <c:pt idx="66">
                  <c:v>8949</c:v>
                </c:pt>
                <c:pt idx="67">
                  <c:v>8980</c:v>
                </c:pt>
                <c:pt idx="68">
                  <c:v>9011</c:v>
                </c:pt>
                <c:pt idx="69">
                  <c:v>9041</c:v>
                </c:pt>
                <c:pt idx="70">
                  <c:v>9072</c:v>
                </c:pt>
                <c:pt idx="71">
                  <c:v>9102</c:v>
                </c:pt>
                <c:pt idx="72">
                  <c:v>9133</c:v>
                </c:pt>
                <c:pt idx="73">
                  <c:v>9164</c:v>
                </c:pt>
                <c:pt idx="74">
                  <c:v>9192</c:v>
                </c:pt>
                <c:pt idx="75">
                  <c:v>9223</c:v>
                </c:pt>
                <c:pt idx="76">
                  <c:v>9253</c:v>
                </c:pt>
                <c:pt idx="77">
                  <c:v>9284</c:v>
                </c:pt>
                <c:pt idx="78">
                  <c:v>9314</c:v>
                </c:pt>
                <c:pt idx="79">
                  <c:v>9345</c:v>
                </c:pt>
                <c:pt idx="80">
                  <c:v>9376</c:v>
                </c:pt>
                <c:pt idx="81">
                  <c:v>9406</c:v>
                </c:pt>
                <c:pt idx="82">
                  <c:v>9437</c:v>
                </c:pt>
                <c:pt idx="83">
                  <c:v>9467</c:v>
                </c:pt>
                <c:pt idx="84">
                  <c:v>9498</c:v>
                </c:pt>
                <c:pt idx="85">
                  <c:v>9529</c:v>
                </c:pt>
                <c:pt idx="86">
                  <c:v>9557</c:v>
                </c:pt>
                <c:pt idx="87">
                  <c:v>9588</c:v>
                </c:pt>
                <c:pt idx="88">
                  <c:v>9618</c:v>
                </c:pt>
                <c:pt idx="89">
                  <c:v>9649</c:v>
                </c:pt>
                <c:pt idx="90">
                  <c:v>9679</c:v>
                </c:pt>
                <c:pt idx="91">
                  <c:v>9710</c:v>
                </c:pt>
                <c:pt idx="92">
                  <c:v>9741</c:v>
                </c:pt>
                <c:pt idx="93">
                  <c:v>9771</c:v>
                </c:pt>
                <c:pt idx="94">
                  <c:v>9802</c:v>
                </c:pt>
                <c:pt idx="95">
                  <c:v>9832</c:v>
                </c:pt>
                <c:pt idx="96">
                  <c:v>9863</c:v>
                </c:pt>
                <c:pt idx="97">
                  <c:v>9894</c:v>
                </c:pt>
                <c:pt idx="98">
                  <c:v>9922</c:v>
                </c:pt>
                <c:pt idx="99">
                  <c:v>9953</c:v>
                </c:pt>
                <c:pt idx="100">
                  <c:v>9983</c:v>
                </c:pt>
                <c:pt idx="101">
                  <c:v>10014</c:v>
                </c:pt>
                <c:pt idx="102">
                  <c:v>10044</c:v>
                </c:pt>
                <c:pt idx="103">
                  <c:v>10075</c:v>
                </c:pt>
                <c:pt idx="104">
                  <c:v>10106</c:v>
                </c:pt>
                <c:pt idx="105">
                  <c:v>10136</c:v>
                </c:pt>
                <c:pt idx="106">
                  <c:v>10167</c:v>
                </c:pt>
                <c:pt idx="107">
                  <c:v>10197</c:v>
                </c:pt>
                <c:pt idx="108">
                  <c:v>10228</c:v>
                </c:pt>
                <c:pt idx="109">
                  <c:v>10259</c:v>
                </c:pt>
                <c:pt idx="110">
                  <c:v>10288</c:v>
                </c:pt>
                <c:pt idx="111">
                  <c:v>10319</c:v>
                </c:pt>
                <c:pt idx="112">
                  <c:v>10349</c:v>
                </c:pt>
                <c:pt idx="113">
                  <c:v>10380</c:v>
                </c:pt>
                <c:pt idx="114">
                  <c:v>10410</c:v>
                </c:pt>
                <c:pt idx="115">
                  <c:v>10441</c:v>
                </c:pt>
                <c:pt idx="116">
                  <c:v>10472</c:v>
                </c:pt>
                <c:pt idx="117">
                  <c:v>10502</c:v>
                </c:pt>
                <c:pt idx="118">
                  <c:v>10533</c:v>
                </c:pt>
                <c:pt idx="119">
                  <c:v>10563</c:v>
                </c:pt>
                <c:pt idx="120">
                  <c:v>10594</c:v>
                </c:pt>
                <c:pt idx="121">
                  <c:v>10625</c:v>
                </c:pt>
                <c:pt idx="122">
                  <c:v>10653</c:v>
                </c:pt>
                <c:pt idx="123">
                  <c:v>10684</c:v>
                </c:pt>
                <c:pt idx="124">
                  <c:v>10714</c:v>
                </c:pt>
                <c:pt idx="125">
                  <c:v>10745</c:v>
                </c:pt>
                <c:pt idx="126">
                  <c:v>10775</c:v>
                </c:pt>
                <c:pt idx="127">
                  <c:v>10806</c:v>
                </c:pt>
                <c:pt idx="128">
                  <c:v>10837</c:v>
                </c:pt>
                <c:pt idx="129">
                  <c:v>10867</c:v>
                </c:pt>
                <c:pt idx="130">
                  <c:v>10898</c:v>
                </c:pt>
                <c:pt idx="131">
                  <c:v>10928</c:v>
                </c:pt>
              </c:numCache>
            </c:numRef>
          </c:cat>
          <c:val>
            <c:numRef>
              <c:f>'60 percent elasticity of GNP'!$P$12:$P$143</c:f>
              <c:numCache>
                <c:formatCode>0.00</c:formatCode>
                <c:ptCount val="132"/>
                <c:pt idx="0">
                  <c:v>0.22418838861831081</c:v>
                </c:pt>
                <c:pt idx="1">
                  <c:v>0.17152164595150163</c:v>
                </c:pt>
                <c:pt idx="2">
                  <c:v>0.19089144407881301</c:v>
                </c:pt>
                <c:pt idx="3">
                  <c:v>0.20121362626475409</c:v>
                </c:pt>
                <c:pt idx="4">
                  <c:v>0.18855061778207688</c:v>
                </c:pt>
                <c:pt idx="5">
                  <c:v>0.18569609891593167</c:v>
                </c:pt>
                <c:pt idx="6">
                  <c:v>0.20576182327324957</c:v>
                </c:pt>
                <c:pt idx="7">
                  <c:v>0.20558978725723234</c:v>
                </c:pt>
                <c:pt idx="8">
                  <c:v>0.17804331231135434</c:v>
                </c:pt>
                <c:pt idx="9">
                  <c:v>0.17068847847509835</c:v>
                </c:pt>
                <c:pt idx="10">
                  <c:v>0.16995703871730364</c:v>
                </c:pt>
                <c:pt idx="11">
                  <c:v>0.18759206416569238</c:v>
                </c:pt>
                <c:pt idx="12">
                  <c:v>0.2451162451571236</c:v>
                </c:pt>
                <c:pt idx="13">
                  <c:v>0.28719705664771028</c:v>
                </c:pt>
                <c:pt idx="14">
                  <c:v>0.2773973575794445</c:v>
                </c:pt>
                <c:pt idx="15">
                  <c:v>0.27775432061139105</c:v>
                </c:pt>
                <c:pt idx="16">
                  <c:v>0.28862909751082955</c:v>
                </c:pt>
                <c:pt idx="17">
                  <c:v>0.31241033017563569</c:v>
                </c:pt>
                <c:pt idx="18">
                  <c:v>0.25301739666208412</c:v>
                </c:pt>
                <c:pt idx="19">
                  <c:v>0.19149504971886938</c:v>
                </c:pt>
                <c:pt idx="20">
                  <c:v>0.14894963072513598</c:v>
                </c:pt>
                <c:pt idx="21">
                  <c:v>0.10254991683642325</c:v>
                </c:pt>
                <c:pt idx="22">
                  <c:v>3.5494883604996696E-2</c:v>
                </c:pt>
                <c:pt idx="23">
                  <c:v>-4.6636050379872278E-2</c:v>
                </c:pt>
                <c:pt idx="24">
                  <c:v>-0.12792145330247953</c:v>
                </c:pt>
                <c:pt idx="25">
                  <c:v>-0.19856682335326023</c:v>
                </c:pt>
                <c:pt idx="26">
                  <c:v>-0.23134954451472595</c:v>
                </c:pt>
                <c:pt idx="27">
                  <c:v>-0.29374355333381719</c:v>
                </c:pt>
                <c:pt idx="28">
                  <c:v>-0.34178162924474648</c:v>
                </c:pt>
                <c:pt idx="29">
                  <c:v>-0.37494728591222026</c:v>
                </c:pt>
                <c:pt idx="30">
                  <c:v>-0.36225658668063077</c:v>
                </c:pt>
                <c:pt idx="31">
                  <c:v>-0.31635530488781788</c:v>
                </c:pt>
                <c:pt idx="32">
                  <c:v>-0.30995030519510319</c:v>
                </c:pt>
                <c:pt idx="33">
                  <c:v>-0.28574866799403009</c:v>
                </c:pt>
                <c:pt idx="34">
                  <c:v>-0.29151084338188665</c:v>
                </c:pt>
                <c:pt idx="35">
                  <c:v>-0.27238356373104478</c:v>
                </c:pt>
                <c:pt idx="36">
                  <c:v>-0.26573103270728993</c:v>
                </c:pt>
                <c:pt idx="37">
                  <c:v>-0.20573675978132289</c:v>
                </c:pt>
                <c:pt idx="38">
                  <c:v>-0.20067532916161501</c:v>
                </c:pt>
                <c:pt idx="39">
                  <c:v>-0.19544157023209446</c:v>
                </c:pt>
                <c:pt idx="40">
                  <c:v>-0.14744383345905332</c:v>
                </c:pt>
                <c:pt idx="41">
                  <c:v>-0.12521305907557226</c:v>
                </c:pt>
                <c:pt idx="42">
                  <c:v>-0.12566336589933236</c:v>
                </c:pt>
                <c:pt idx="43">
                  <c:v>-0.15095419811754651</c:v>
                </c:pt>
                <c:pt idx="44">
                  <c:v>-0.11901696911807064</c:v>
                </c:pt>
                <c:pt idx="45">
                  <c:v>-9.4454683377719534E-2</c:v>
                </c:pt>
                <c:pt idx="46">
                  <c:v>-6.4980097990061547E-2</c:v>
                </c:pt>
                <c:pt idx="47">
                  <c:v>-4.0084291882368617E-2</c:v>
                </c:pt>
                <c:pt idx="48">
                  <c:v>-2.1669127635842091E-2</c:v>
                </c:pt>
                <c:pt idx="49">
                  <c:v>-1.8439216147323724E-2</c:v>
                </c:pt>
                <c:pt idx="50">
                  <c:v>7.9509352596719152E-3</c:v>
                </c:pt>
                <c:pt idx="51">
                  <c:v>2.2510729638061024E-2</c:v>
                </c:pt>
                <c:pt idx="52">
                  <c:v>2.5473745530427142E-2</c:v>
                </c:pt>
                <c:pt idx="53">
                  <c:v>3.0845166407913478E-2</c:v>
                </c:pt>
                <c:pt idx="54">
                  <c:v>3.5928726003594862E-2</c:v>
                </c:pt>
                <c:pt idx="55">
                  <c:v>3.8974581999090652E-2</c:v>
                </c:pt>
                <c:pt idx="56">
                  <c:v>4.0102501165053955E-2</c:v>
                </c:pt>
                <c:pt idx="57">
                  <c:v>3.7523713016332561E-2</c:v>
                </c:pt>
                <c:pt idx="58">
                  <c:v>2.7661511536576578E-2</c:v>
                </c:pt>
                <c:pt idx="59">
                  <c:v>1.0955838088901479E-2</c:v>
                </c:pt>
                <c:pt idx="60">
                  <c:v>2.5847609536576534E-2</c:v>
                </c:pt>
                <c:pt idx="61">
                  <c:v>2.1647358368896547E-2</c:v>
                </c:pt>
                <c:pt idx="62">
                  <c:v>6.5916505438978895E-3</c:v>
                </c:pt>
                <c:pt idx="63">
                  <c:v>-2.1716412663127745E-2</c:v>
                </c:pt>
                <c:pt idx="64">
                  <c:v>-3.5576790089115615E-2</c:v>
                </c:pt>
                <c:pt idx="65">
                  <c:v>-5.8871393576287311E-2</c:v>
                </c:pt>
                <c:pt idx="66">
                  <c:v>-7.3174727160761677E-2</c:v>
                </c:pt>
                <c:pt idx="67">
                  <c:v>-6.338926346753046E-2</c:v>
                </c:pt>
                <c:pt idx="68">
                  <c:v>-5.3872694583771294E-2</c:v>
                </c:pt>
                <c:pt idx="69">
                  <c:v>-4.7534557953445161E-2</c:v>
                </c:pt>
                <c:pt idx="70">
                  <c:v>-4.2805618799646103E-2</c:v>
                </c:pt>
                <c:pt idx="71">
                  <c:v>-2.6761796520310792E-2</c:v>
                </c:pt>
                <c:pt idx="72">
                  <c:v>-1.8313137285533902E-2</c:v>
                </c:pt>
                <c:pt idx="73">
                  <c:v>-1.9220088285533926E-2</c:v>
                </c:pt>
                <c:pt idx="74">
                  <c:v>-2.6849822928554645E-3</c:v>
                </c:pt>
                <c:pt idx="75">
                  <c:v>-8.689314669098093E-4</c:v>
                </c:pt>
                <c:pt idx="76">
                  <c:v>5.6097164088518281E-3</c:v>
                </c:pt>
                <c:pt idx="77">
                  <c:v>1.9316737966464374E-2</c:v>
                </c:pt>
                <c:pt idx="78">
                  <c:v>3.4482078849131029E-2</c:v>
                </c:pt>
                <c:pt idx="79">
                  <c:v>3.7176070522926943E-2</c:v>
                </c:pt>
                <c:pt idx="80">
                  <c:v>2.3516418886669062E-2</c:v>
                </c:pt>
                <c:pt idx="81">
                  <c:v>2.5579841305351087E-2</c:v>
                </c:pt>
                <c:pt idx="82">
                  <c:v>5.619939236557539E-2</c:v>
                </c:pt>
                <c:pt idx="83">
                  <c:v>4.1965918355257724E-2</c:v>
                </c:pt>
                <c:pt idx="84">
                  <c:v>3.6077867858930933E-2</c:v>
                </c:pt>
                <c:pt idx="85">
                  <c:v>4.3866593385419733E-2</c:v>
                </c:pt>
                <c:pt idx="86">
                  <c:v>2.9606448527552856E-2</c:v>
                </c:pt>
                <c:pt idx="87">
                  <c:v>4.579855737704619E-2</c:v>
                </c:pt>
                <c:pt idx="88">
                  <c:v>2.5302058941898502E-2</c:v>
                </c:pt>
                <c:pt idx="89">
                  <c:v>2.4285333162662008E-3</c:v>
                </c:pt>
                <c:pt idx="90">
                  <c:v>-3.1339525287634264E-2</c:v>
                </c:pt>
                <c:pt idx="91">
                  <c:v>-3.717291274738245E-2</c:v>
                </c:pt>
                <c:pt idx="92">
                  <c:v>-2.4667301381917552E-2</c:v>
                </c:pt>
                <c:pt idx="93">
                  <c:v>-1.7027220709960725E-2</c:v>
                </c:pt>
                <c:pt idx="94">
                  <c:v>-3.5842032434961611E-2</c:v>
                </c:pt>
                <c:pt idx="95">
                  <c:v>-2.9592990871272019E-2</c:v>
                </c:pt>
                <c:pt idx="96">
                  <c:v>-4.8755485608912782E-2</c:v>
                </c:pt>
                <c:pt idx="97">
                  <c:v>-5.5847967899728741E-2</c:v>
                </c:pt>
                <c:pt idx="98">
                  <c:v>-5.3419510979336927E-2</c:v>
                </c:pt>
                <c:pt idx="99">
                  <c:v>-6.992818772289619E-2</c:v>
                </c:pt>
                <c:pt idx="100">
                  <c:v>-5.1366012587217805E-2</c:v>
                </c:pt>
                <c:pt idx="101">
                  <c:v>-2.7889099036567312E-2</c:v>
                </c:pt>
                <c:pt idx="102">
                  <c:v>-4.1189161812440908E-2</c:v>
                </c:pt>
                <c:pt idx="103">
                  <c:v>-4.2195777275452352E-2</c:v>
                </c:pt>
                <c:pt idx="104">
                  <c:v>-4.7943150601307501E-2</c:v>
                </c:pt>
                <c:pt idx="105">
                  <c:v>-5.504095752451782E-2</c:v>
                </c:pt>
                <c:pt idx="106">
                  <c:v>-7.3092071903158543E-2</c:v>
                </c:pt>
                <c:pt idx="107">
                  <c:v>-7.2727724419955467E-2</c:v>
                </c:pt>
                <c:pt idx="108">
                  <c:v>-5.0325976302509526E-2</c:v>
                </c:pt>
                <c:pt idx="109">
                  <c:v>-5.7613570379965548E-2</c:v>
                </c:pt>
                <c:pt idx="110">
                  <c:v>-4.7425114545306124E-2</c:v>
                </c:pt>
                <c:pt idx="111">
                  <c:v>-4.9552208666517231E-2</c:v>
                </c:pt>
                <c:pt idx="112">
                  <c:v>-4.6708187334665724E-2</c:v>
                </c:pt>
                <c:pt idx="113">
                  <c:v>-7.1094081763628067E-2</c:v>
                </c:pt>
                <c:pt idx="114">
                  <c:v>-4.2634850280556705E-2</c:v>
                </c:pt>
                <c:pt idx="115">
                  <c:v>-2.8975250005414392E-2</c:v>
                </c:pt>
                <c:pt idx="116">
                  <c:v>-1.8818406922728986E-2</c:v>
                </c:pt>
                <c:pt idx="117">
                  <c:v>-3.1352295254178639E-2</c:v>
                </c:pt>
                <c:pt idx="118">
                  <c:v>-1.8006205488347988E-2</c:v>
                </c:pt>
                <c:pt idx="119">
                  <c:v>-2.2154945886625286E-2</c:v>
                </c:pt>
                <c:pt idx="120">
                  <c:v>-1.8728205741583303E-2</c:v>
                </c:pt>
                <c:pt idx="121">
                  <c:v>-3.2726779123917714E-3</c:v>
                </c:pt>
                <c:pt idx="122">
                  <c:v>-1.1897729927501903E-2</c:v>
                </c:pt>
                <c:pt idx="123">
                  <c:v>-1.6325696487757068E-2</c:v>
                </c:pt>
                <c:pt idx="124">
                  <c:v>-1.1893873192168888E-2</c:v>
                </c:pt>
                <c:pt idx="125">
                  <c:v>6.8129135549061552E-3</c:v>
                </c:pt>
                <c:pt idx="126">
                  <c:v>2.7441237597857559E-2</c:v>
                </c:pt>
                <c:pt idx="127">
                  <c:v>2.346866378038771E-2</c:v>
                </c:pt>
                <c:pt idx="128">
                  <c:v>3.0570792468628842E-3</c:v>
                </c:pt>
                <c:pt idx="129">
                  <c:v>5.6284171933968681E-3</c:v>
                </c:pt>
                <c:pt idx="130">
                  <c:v>-1.0390886173977112E-2</c:v>
                </c:pt>
                <c:pt idx="131">
                  <c:v>-2.4830602878930179E-2</c:v>
                </c:pt>
              </c:numCache>
            </c:numRef>
          </c:val>
          <c:smooth val="0"/>
          <c:extLst>
            <c:ext xmlns:c16="http://schemas.microsoft.com/office/drawing/2014/chart" uri="{C3380CC4-5D6E-409C-BE32-E72D297353CC}">
              <c16:uniqueId val="{00000000-0EA1-4DD9-86A7-15730B4DF994}"/>
            </c:ext>
          </c:extLst>
        </c:ser>
        <c:dLbls>
          <c:showLegendKey val="0"/>
          <c:showVal val="0"/>
          <c:showCatName val="0"/>
          <c:showSerName val="0"/>
          <c:showPercent val="0"/>
          <c:showBubbleSize val="0"/>
        </c:dLbls>
        <c:smooth val="0"/>
        <c:axId val="319846240"/>
        <c:axId val="319844280"/>
      </c:lineChart>
      <c:dateAx>
        <c:axId val="319846240"/>
        <c:scaling>
          <c:orientation val="minMax"/>
        </c:scaling>
        <c:delete val="0"/>
        <c:axPos val="b"/>
        <c:numFmt formatCode="yyyy\-mm\-dd"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844280"/>
        <c:crosses val="autoZero"/>
        <c:auto val="1"/>
        <c:lblOffset val="100"/>
        <c:baseTimeUnit val="months"/>
      </c:dateAx>
      <c:valAx>
        <c:axId val="3198442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84624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7</a:t>
            </a:r>
          </a:p>
          <a:p>
            <a:pPr>
              <a:defRPr sz="1400" b="0" i="0" u="none" strike="noStrike" kern="1200" spc="0" baseline="0">
                <a:solidFill>
                  <a:schemeClr val="tx1">
                    <a:lumMod val="65000"/>
                    <a:lumOff val="35000"/>
                  </a:schemeClr>
                </a:solidFill>
                <a:latin typeface="+mn-lt"/>
                <a:ea typeface="+mn-ea"/>
                <a:cs typeface="+mn-cs"/>
              </a:defRPr>
            </a:pPr>
            <a:r>
              <a:rPr lang="en-US"/>
              <a:t>Taylor Rule </a:t>
            </a:r>
            <a:r>
              <a:rPr lang="en-US" baseline="0"/>
              <a:t> vs. Discount rate</a:t>
            </a:r>
            <a:endParaRPr lang="en-US"/>
          </a:p>
        </c:rich>
      </c:tx>
      <c:layout>
        <c:manualLayout>
          <c:xMode val="edge"/>
          <c:yMode val="edge"/>
          <c:x val="0.32"/>
          <c:y val="3.1980319803198029E-2"/>
        </c:manualLayout>
      </c:layout>
      <c:overlay val="0"/>
      <c:spPr>
        <a:noFill/>
        <a:ln>
          <a:noFill/>
        </a:ln>
        <a:effectLst/>
      </c:spPr>
    </c:title>
    <c:autoTitleDeleted val="0"/>
    <c:plotArea>
      <c:layout>
        <c:manualLayout>
          <c:layoutTarget val="inner"/>
          <c:xMode val="edge"/>
          <c:yMode val="edge"/>
          <c:x val="7.802392489400363E-2"/>
          <c:y val="2.2269340719391798E-2"/>
          <c:w val="0.90756480439945009"/>
          <c:h val="0.8816974169741697"/>
        </c:manualLayout>
      </c:layout>
      <c:lineChart>
        <c:grouping val="standard"/>
        <c:varyColors val="0"/>
        <c:ser>
          <c:idx val="0"/>
          <c:order val="0"/>
          <c:tx>
            <c:v>Taylor rule</c:v>
          </c:tx>
          <c:spPr>
            <a:ln w="28575" cap="rnd">
              <a:solidFill>
                <a:schemeClr val="accent1"/>
              </a:solidFill>
              <a:round/>
            </a:ln>
            <a:effectLst/>
          </c:spPr>
          <c:marker>
            <c:symbol val="none"/>
          </c:marker>
          <c:cat>
            <c:numRef>
              <c:f>'60 percent elasticity of GNP'!$A$12:$A$143</c:f>
              <c:numCache>
                <c:formatCode>yyyy\-mm\-dd</c:formatCode>
                <c:ptCount val="132"/>
                <c:pt idx="0">
                  <c:v>6941</c:v>
                </c:pt>
                <c:pt idx="1">
                  <c:v>6972</c:v>
                </c:pt>
                <c:pt idx="2">
                  <c:v>7000</c:v>
                </c:pt>
                <c:pt idx="3">
                  <c:v>7031</c:v>
                </c:pt>
                <c:pt idx="4">
                  <c:v>7061</c:v>
                </c:pt>
                <c:pt idx="5">
                  <c:v>7092</c:v>
                </c:pt>
                <c:pt idx="6">
                  <c:v>7122</c:v>
                </c:pt>
                <c:pt idx="7">
                  <c:v>7153</c:v>
                </c:pt>
                <c:pt idx="8">
                  <c:v>7184</c:v>
                </c:pt>
                <c:pt idx="9">
                  <c:v>7214</c:v>
                </c:pt>
                <c:pt idx="10">
                  <c:v>7245</c:v>
                </c:pt>
                <c:pt idx="11">
                  <c:v>7275</c:v>
                </c:pt>
                <c:pt idx="12">
                  <c:v>7306</c:v>
                </c:pt>
                <c:pt idx="13">
                  <c:v>7337</c:v>
                </c:pt>
                <c:pt idx="14">
                  <c:v>7366</c:v>
                </c:pt>
                <c:pt idx="15">
                  <c:v>7397</c:v>
                </c:pt>
                <c:pt idx="16">
                  <c:v>7427</c:v>
                </c:pt>
                <c:pt idx="17">
                  <c:v>7458</c:v>
                </c:pt>
                <c:pt idx="18">
                  <c:v>7488</c:v>
                </c:pt>
                <c:pt idx="19">
                  <c:v>7519</c:v>
                </c:pt>
                <c:pt idx="20">
                  <c:v>7550</c:v>
                </c:pt>
                <c:pt idx="21">
                  <c:v>7580</c:v>
                </c:pt>
                <c:pt idx="22">
                  <c:v>7611</c:v>
                </c:pt>
                <c:pt idx="23">
                  <c:v>7641</c:v>
                </c:pt>
                <c:pt idx="24">
                  <c:v>7672</c:v>
                </c:pt>
                <c:pt idx="25">
                  <c:v>7703</c:v>
                </c:pt>
                <c:pt idx="26">
                  <c:v>7731</c:v>
                </c:pt>
                <c:pt idx="27">
                  <c:v>7762</c:v>
                </c:pt>
                <c:pt idx="28">
                  <c:v>7792</c:v>
                </c:pt>
                <c:pt idx="29">
                  <c:v>7823</c:v>
                </c:pt>
                <c:pt idx="30">
                  <c:v>7853</c:v>
                </c:pt>
                <c:pt idx="31">
                  <c:v>7884</c:v>
                </c:pt>
                <c:pt idx="32">
                  <c:v>7915</c:v>
                </c:pt>
                <c:pt idx="33">
                  <c:v>7945</c:v>
                </c:pt>
                <c:pt idx="34">
                  <c:v>7976</c:v>
                </c:pt>
                <c:pt idx="35">
                  <c:v>8006</c:v>
                </c:pt>
                <c:pt idx="36">
                  <c:v>8037</c:v>
                </c:pt>
                <c:pt idx="37">
                  <c:v>8068</c:v>
                </c:pt>
                <c:pt idx="38">
                  <c:v>8096</c:v>
                </c:pt>
                <c:pt idx="39">
                  <c:v>8127</c:v>
                </c:pt>
                <c:pt idx="40">
                  <c:v>8157</c:v>
                </c:pt>
                <c:pt idx="41">
                  <c:v>8188</c:v>
                </c:pt>
                <c:pt idx="42">
                  <c:v>8218</c:v>
                </c:pt>
                <c:pt idx="43">
                  <c:v>8249</c:v>
                </c:pt>
                <c:pt idx="44">
                  <c:v>8280</c:v>
                </c:pt>
                <c:pt idx="45">
                  <c:v>8310</c:v>
                </c:pt>
                <c:pt idx="46">
                  <c:v>8341</c:v>
                </c:pt>
                <c:pt idx="47">
                  <c:v>8371</c:v>
                </c:pt>
                <c:pt idx="48">
                  <c:v>8402</c:v>
                </c:pt>
                <c:pt idx="49">
                  <c:v>8433</c:v>
                </c:pt>
                <c:pt idx="50">
                  <c:v>8461</c:v>
                </c:pt>
                <c:pt idx="51">
                  <c:v>8492</c:v>
                </c:pt>
                <c:pt idx="52">
                  <c:v>8522</c:v>
                </c:pt>
                <c:pt idx="53">
                  <c:v>8553</c:v>
                </c:pt>
                <c:pt idx="54">
                  <c:v>8583</c:v>
                </c:pt>
                <c:pt idx="55">
                  <c:v>8614</c:v>
                </c:pt>
                <c:pt idx="56">
                  <c:v>8645</c:v>
                </c:pt>
                <c:pt idx="57">
                  <c:v>8675</c:v>
                </c:pt>
                <c:pt idx="58">
                  <c:v>8706</c:v>
                </c:pt>
                <c:pt idx="59">
                  <c:v>8736</c:v>
                </c:pt>
                <c:pt idx="60">
                  <c:v>8767</c:v>
                </c:pt>
                <c:pt idx="61">
                  <c:v>8798</c:v>
                </c:pt>
                <c:pt idx="62">
                  <c:v>8827</c:v>
                </c:pt>
                <c:pt idx="63">
                  <c:v>8858</c:v>
                </c:pt>
                <c:pt idx="64">
                  <c:v>8888</c:v>
                </c:pt>
                <c:pt idx="65">
                  <c:v>8919</c:v>
                </c:pt>
                <c:pt idx="66">
                  <c:v>8949</c:v>
                </c:pt>
                <c:pt idx="67">
                  <c:v>8980</c:v>
                </c:pt>
                <c:pt idx="68">
                  <c:v>9011</c:v>
                </c:pt>
                <c:pt idx="69">
                  <c:v>9041</c:v>
                </c:pt>
                <c:pt idx="70">
                  <c:v>9072</c:v>
                </c:pt>
                <c:pt idx="71">
                  <c:v>9102</c:v>
                </c:pt>
                <c:pt idx="72">
                  <c:v>9133</c:v>
                </c:pt>
                <c:pt idx="73">
                  <c:v>9164</c:v>
                </c:pt>
                <c:pt idx="74">
                  <c:v>9192</c:v>
                </c:pt>
                <c:pt idx="75">
                  <c:v>9223</c:v>
                </c:pt>
                <c:pt idx="76">
                  <c:v>9253</c:v>
                </c:pt>
                <c:pt idx="77">
                  <c:v>9284</c:v>
                </c:pt>
                <c:pt idx="78">
                  <c:v>9314</c:v>
                </c:pt>
                <c:pt idx="79">
                  <c:v>9345</c:v>
                </c:pt>
                <c:pt idx="80">
                  <c:v>9376</c:v>
                </c:pt>
                <c:pt idx="81">
                  <c:v>9406</c:v>
                </c:pt>
                <c:pt idx="82">
                  <c:v>9437</c:v>
                </c:pt>
                <c:pt idx="83">
                  <c:v>9467</c:v>
                </c:pt>
                <c:pt idx="84">
                  <c:v>9498</c:v>
                </c:pt>
                <c:pt idx="85">
                  <c:v>9529</c:v>
                </c:pt>
                <c:pt idx="86">
                  <c:v>9557</c:v>
                </c:pt>
                <c:pt idx="87">
                  <c:v>9588</c:v>
                </c:pt>
                <c:pt idx="88">
                  <c:v>9618</c:v>
                </c:pt>
                <c:pt idx="89">
                  <c:v>9649</c:v>
                </c:pt>
                <c:pt idx="90">
                  <c:v>9679</c:v>
                </c:pt>
                <c:pt idx="91">
                  <c:v>9710</c:v>
                </c:pt>
                <c:pt idx="92">
                  <c:v>9741</c:v>
                </c:pt>
                <c:pt idx="93">
                  <c:v>9771</c:v>
                </c:pt>
                <c:pt idx="94">
                  <c:v>9802</c:v>
                </c:pt>
                <c:pt idx="95">
                  <c:v>9832</c:v>
                </c:pt>
                <c:pt idx="96">
                  <c:v>9863</c:v>
                </c:pt>
                <c:pt idx="97">
                  <c:v>9894</c:v>
                </c:pt>
                <c:pt idx="98">
                  <c:v>9922</c:v>
                </c:pt>
                <c:pt idx="99">
                  <c:v>9953</c:v>
                </c:pt>
                <c:pt idx="100">
                  <c:v>9983</c:v>
                </c:pt>
                <c:pt idx="101">
                  <c:v>10014</c:v>
                </c:pt>
                <c:pt idx="102">
                  <c:v>10044</c:v>
                </c:pt>
                <c:pt idx="103">
                  <c:v>10075</c:v>
                </c:pt>
                <c:pt idx="104">
                  <c:v>10106</c:v>
                </c:pt>
                <c:pt idx="105">
                  <c:v>10136</c:v>
                </c:pt>
                <c:pt idx="106">
                  <c:v>10167</c:v>
                </c:pt>
                <c:pt idx="107">
                  <c:v>10197</c:v>
                </c:pt>
                <c:pt idx="108">
                  <c:v>10228</c:v>
                </c:pt>
                <c:pt idx="109">
                  <c:v>10259</c:v>
                </c:pt>
                <c:pt idx="110">
                  <c:v>10288</c:v>
                </c:pt>
                <c:pt idx="111">
                  <c:v>10319</c:v>
                </c:pt>
                <c:pt idx="112">
                  <c:v>10349</c:v>
                </c:pt>
                <c:pt idx="113">
                  <c:v>10380</c:v>
                </c:pt>
                <c:pt idx="114">
                  <c:v>10410</c:v>
                </c:pt>
                <c:pt idx="115">
                  <c:v>10441</c:v>
                </c:pt>
                <c:pt idx="116">
                  <c:v>10472</c:v>
                </c:pt>
                <c:pt idx="117">
                  <c:v>10502</c:v>
                </c:pt>
                <c:pt idx="118">
                  <c:v>10533</c:v>
                </c:pt>
                <c:pt idx="119">
                  <c:v>10563</c:v>
                </c:pt>
                <c:pt idx="120">
                  <c:v>10594</c:v>
                </c:pt>
                <c:pt idx="121">
                  <c:v>10625</c:v>
                </c:pt>
                <c:pt idx="122">
                  <c:v>10653</c:v>
                </c:pt>
                <c:pt idx="123">
                  <c:v>10684</c:v>
                </c:pt>
                <c:pt idx="124">
                  <c:v>10714</c:v>
                </c:pt>
                <c:pt idx="125">
                  <c:v>10745</c:v>
                </c:pt>
                <c:pt idx="126">
                  <c:v>10775</c:v>
                </c:pt>
                <c:pt idx="127">
                  <c:v>10806</c:v>
                </c:pt>
                <c:pt idx="128">
                  <c:v>10837</c:v>
                </c:pt>
                <c:pt idx="129">
                  <c:v>10867</c:v>
                </c:pt>
                <c:pt idx="130">
                  <c:v>10898</c:v>
                </c:pt>
                <c:pt idx="131">
                  <c:v>10928</c:v>
                </c:pt>
              </c:numCache>
            </c:numRef>
          </c:cat>
          <c:val>
            <c:numRef>
              <c:f>'60 percent elasticity of GNP'!$P$12:$P$143</c:f>
              <c:numCache>
                <c:formatCode>0.00</c:formatCode>
                <c:ptCount val="132"/>
                <c:pt idx="0">
                  <c:v>0.22418838861831081</c:v>
                </c:pt>
                <c:pt idx="1">
                  <c:v>0.17152164595150163</c:v>
                </c:pt>
                <c:pt idx="2">
                  <c:v>0.19089144407881301</c:v>
                </c:pt>
                <c:pt idx="3">
                  <c:v>0.20121362626475409</c:v>
                </c:pt>
                <c:pt idx="4">
                  <c:v>0.18855061778207688</c:v>
                </c:pt>
                <c:pt idx="5">
                  <c:v>0.18569609891593167</c:v>
                </c:pt>
                <c:pt idx="6">
                  <c:v>0.20576182327324957</c:v>
                </c:pt>
                <c:pt idx="7">
                  <c:v>0.20558978725723234</c:v>
                </c:pt>
                <c:pt idx="8">
                  <c:v>0.17804331231135434</c:v>
                </c:pt>
                <c:pt idx="9">
                  <c:v>0.17068847847509835</c:v>
                </c:pt>
                <c:pt idx="10">
                  <c:v>0.16995703871730364</c:v>
                </c:pt>
                <c:pt idx="11">
                  <c:v>0.18759206416569238</c:v>
                </c:pt>
                <c:pt idx="12">
                  <c:v>0.2451162451571236</c:v>
                </c:pt>
                <c:pt idx="13">
                  <c:v>0.28719705664771028</c:v>
                </c:pt>
                <c:pt idx="14">
                  <c:v>0.2773973575794445</c:v>
                </c:pt>
                <c:pt idx="15">
                  <c:v>0.27775432061139105</c:v>
                </c:pt>
                <c:pt idx="16">
                  <c:v>0.28862909751082955</c:v>
                </c:pt>
                <c:pt idx="17">
                  <c:v>0.31241033017563569</c:v>
                </c:pt>
                <c:pt idx="18">
                  <c:v>0.25301739666208412</c:v>
                </c:pt>
                <c:pt idx="19">
                  <c:v>0.19149504971886938</c:v>
                </c:pt>
                <c:pt idx="20">
                  <c:v>0.14894963072513598</c:v>
                </c:pt>
                <c:pt idx="21">
                  <c:v>0.10254991683642325</c:v>
                </c:pt>
                <c:pt idx="22">
                  <c:v>3.5494883604996696E-2</c:v>
                </c:pt>
                <c:pt idx="23">
                  <c:v>-4.6636050379872278E-2</c:v>
                </c:pt>
                <c:pt idx="24">
                  <c:v>-0.12792145330247953</c:v>
                </c:pt>
                <c:pt idx="25">
                  <c:v>-0.19856682335326023</c:v>
                </c:pt>
                <c:pt idx="26">
                  <c:v>-0.23134954451472595</c:v>
                </c:pt>
                <c:pt idx="27">
                  <c:v>-0.29374355333381719</c:v>
                </c:pt>
                <c:pt idx="28">
                  <c:v>-0.34178162924474648</c:v>
                </c:pt>
                <c:pt idx="29">
                  <c:v>-0.37494728591222026</c:v>
                </c:pt>
                <c:pt idx="30">
                  <c:v>-0.36225658668063077</c:v>
                </c:pt>
                <c:pt idx="31">
                  <c:v>-0.31635530488781788</c:v>
                </c:pt>
                <c:pt idx="32">
                  <c:v>-0.30995030519510319</c:v>
                </c:pt>
                <c:pt idx="33">
                  <c:v>-0.28574866799403009</c:v>
                </c:pt>
                <c:pt idx="34">
                  <c:v>-0.29151084338188665</c:v>
                </c:pt>
                <c:pt idx="35">
                  <c:v>-0.27238356373104478</c:v>
                </c:pt>
                <c:pt idx="36">
                  <c:v>-0.26573103270728993</c:v>
                </c:pt>
                <c:pt idx="37">
                  <c:v>-0.20573675978132289</c:v>
                </c:pt>
                <c:pt idx="38">
                  <c:v>-0.20067532916161501</c:v>
                </c:pt>
                <c:pt idx="39">
                  <c:v>-0.19544157023209446</c:v>
                </c:pt>
                <c:pt idx="40">
                  <c:v>-0.14744383345905332</c:v>
                </c:pt>
                <c:pt idx="41">
                  <c:v>-0.12521305907557226</c:v>
                </c:pt>
                <c:pt idx="42">
                  <c:v>-0.12566336589933236</c:v>
                </c:pt>
                <c:pt idx="43">
                  <c:v>-0.15095419811754651</c:v>
                </c:pt>
                <c:pt idx="44">
                  <c:v>-0.11901696911807064</c:v>
                </c:pt>
                <c:pt idx="45">
                  <c:v>-9.4454683377719534E-2</c:v>
                </c:pt>
                <c:pt idx="46">
                  <c:v>-6.4980097990061547E-2</c:v>
                </c:pt>
                <c:pt idx="47">
                  <c:v>-4.0084291882368617E-2</c:v>
                </c:pt>
                <c:pt idx="48">
                  <c:v>-2.1669127635842091E-2</c:v>
                </c:pt>
                <c:pt idx="49">
                  <c:v>-1.8439216147323724E-2</c:v>
                </c:pt>
                <c:pt idx="50">
                  <c:v>7.9509352596719152E-3</c:v>
                </c:pt>
                <c:pt idx="51">
                  <c:v>2.2510729638061024E-2</c:v>
                </c:pt>
                <c:pt idx="52">
                  <c:v>2.5473745530427142E-2</c:v>
                </c:pt>
                <c:pt idx="53">
                  <c:v>3.0845166407913478E-2</c:v>
                </c:pt>
                <c:pt idx="54">
                  <c:v>3.5928726003594862E-2</c:v>
                </c:pt>
                <c:pt idx="55">
                  <c:v>3.8974581999090652E-2</c:v>
                </c:pt>
                <c:pt idx="56">
                  <c:v>4.0102501165053955E-2</c:v>
                </c:pt>
                <c:pt idx="57">
                  <c:v>3.7523713016332561E-2</c:v>
                </c:pt>
                <c:pt idx="58">
                  <c:v>2.7661511536576578E-2</c:v>
                </c:pt>
                <c:pt idx="59">
                  <c:v>1.0955838088901479E-2</c:v>
                </c:pt>
                <c:pt idx="60">
                  <c:v>2.5847609536576534E-2</c:v>
                </c:pt>
                <c:pt idx="61">
                  <c:v>2.1647358368896547E-2</c:v>
                </c:pt>
                <c:pt idx="62">
                  <c:v>6.5916505438978895E-3</c:v>
                </c:pt>
                <c:pt idx="63">
                  <c:v>-2.1716412663127745E-2</c:v>
                </c:pt>
                <c:pt idx="64">
                  <c:v>-3.5576790089115615E-2</c:v>
                </c:pt>
                <c:pt idx="65">
                  <c:v>-5.8871393576287311E-2</c:v>
                </c:pt>
                <c:pt idx="66">
                  <c:v>-7.3174727160761677E-2</c:v>
                </c:pt>
                <c:pt idx="67">
                  <c:v>-6.338926346753046E-2</c:v>
                </c:pt>
                <c:pt idx="68">
                  <c:v>-5.3872694583771294E-2</c:v>
                </c:pt>
                <c:pt idx="69">
                  <c:v>-4.7534557953445161E-2</c:v>
                </c:pt>
                <c:pt idx="70">
                  <c:v>-4.2805618799646103E-2</c:v>
                </c:pt>
                <c:pt idx="71">
                  <c:v>-2.6761796520310792E-2</c:v>
                </c:pt>
                <c:pt idx="72">
                  <c:v>-1.8313137285533902E-2</c:v>
                </c:pt>
                <c:pt idx="73">
                  <c:v>-1.9220088285533926E-2</c:v>
                </c:pt>
                <c:pt idx="74">
                  <c:v>-2.6849822928554645E-3</c:v>
                </c:pt>
                <c:pt idx="75">
                  <c:v>-8.689314669098093E-4</c:v>
                </c:pt>
                <c:pt idx="76">
                  <c:v>5.6097164088518281E-3</c:v>
                </c:pt>
                <c:pt idx="77">
                  <c:v>1.9316737966464374E-2</c:v>
                </c:pt>
                <c:pt idx="78">
                  <c:v>3.4482078849131029E-2</c:v>
                </c:pt>
                <c:pt idx="79">
                  <c:v>3.7176070522926943E-2</c:v>
                </c:pt>
                <c:pt idx="80">
                  <c:v>2.3516418886669062E-2</c:v>
                </c:pt>
                <c:pt idx="81">
                  <c:v>2.5579841305351087E-2</c:v>
                </c:pt>
                <c:pt idx="82">
                  <c:v>5.619939236557539E-2</c:v>
                </c:pt>
                <c:pt idx="83">
                  <c:v>4.1965918355257724E-2</c:v>
                </c:pt>
                <c:pt idx="84">
                  <c:v>3.6077867858930933E-2</c:v>
                </c:pt>
                <c:pt idx="85">
                  <c:v>4.3866593385419733E-2</c:v>
                </c:pt>
                <c:pt idx="86">
                  <c:v>2.9606448527552856E-2</c:v>
                </c:pt>
                <c:pt idx="87">
                  <c:v>4.579855737704619E-2</c:v>
                </c:pt>
                <c:pt idx="88">
                  <c:v>2.5302058941898502E-2</c:v>
                </c:pt>
                <c:pt idx="89">
                  <c:v>2.4285333162662008E-3</c:v>
                </c:pt>
                <c:pt idx="90">
                  <c:v>-3.1339525287634264E-2</c:v>
                </c:pt>
                <c:pt idx="91">
                  <c:v>-3.717291274738245E-2</c:v>
                </c:pt>
                <c:pt idx="92">
                  <c:v>-2.4667301381917552E-2</c:v>
                </c:pt>
                <c:pt idx="93">
                  <c:v>-1.7027220709960725E-2</c:v>
                </c:pt>
                <c:pt idx="94">
                  <c:v>-3.5842032434961611E-2</c:v>
                </c:pt>
                <c:pt idx="95">
                  <c:v>-2.9592990871272019E-2</c:v>
                </c:pt>
                <c:pt idx="96">
                  <c:v>-4.8755485608912782E-2</c:v>
                </c:pt>
                <c:pt idx="97">
                  <c:v>-5.5847967899728741E-2</c:v>
                </c:pt>
                <c:pt idx="98">
                  <c:v>-5.3419510979336927E-2</c:v>
                </c:pt>
                <c:pt idx="99">
                  <c:v>-6.992818772289619E-2</c:v>
                </c:pt>
                <c:pt idx="100">
                  <c:v>-5.1366012587217805E-2</c:v>
                </c:pt>
                <c:pt idx="101">
                  <c:v>-2.7889099036567312E-2</c:v>
                </c:pt>
                <c:pt idx="102">
                  <c:v>-4.1189161812440908E-2</c:v>
                </c:pt>
                <c:pt idx="103">
                  <c:v>-4.2195777275452352E-2</c:v>
                </c:pt>
                <c:pt idx="104">
                  <c:v>-4.7943150601307501E-2</c:v>
                </c:pt>
                <c:pt idx="105">
                  <c:v>-5.504095752451782E-2</c:v>
                </c:pt>
                <c:pt idx="106">
                  <c:v>-7.3092071903158543E-2</c:v>
                </c:pt>
                <c:pt idx="107">
                  <c:v>-7.2727724419955467E-2</c:v>
                </c:pt>
                <c:pt idx="108">
                  <c:v>-5.0325976302509526E-2</c:v>
                </c:pt>
                <c:pt idx="109">
                  <c:v>-5.7613570379965548E-2</c:v>
                </c:pt>
                <c:pt idx="110">
                  <c:v>-4.7425114545306124E-2</c:v>
                </c:pt>
                <c:pt idx="111">
                  <c:v>-4.9552208666517231E-2</c:v>
                </c:pt>
                <c:pt idx="112">
                  <c:v>-4.6708187334665724E-2</c:v>
                </c:pt>
                <c:pt idx="113">
                  <c:v>-7.1094081763628067E-2</c:v>
                </c:pt>
                <c:pt idx="114">
                  <c:v>-4.2634850280556705E-2</c:v>
                </c:pt>
                <c:pt idx="115">
                  <c:v>-2.8975250005414392E-2</c:v>
                </c:pt>
                <c:pt idx="116">
                  <c:v>-1.8818406922728986E-2</c:v>
                </c:pt>
                <c:pt idx="117">
                  <c:v>-3.1352295254178639E-2</c:v>
                </c:pt>
                <c:pt idx="118">
                  <c:v>-1.8006205488347988E-2</c:v>
                </c:pt>
                <c:pt idx="119">
                  <c:v>-2.2154945886625286E-2</c:v>
                </c:pt>
                <c:pt idx="120">
                  <c:v>-1.8728205741583303E-2</c:v>
                </c:pt>
                <c:pt idx="121">
                  <c:v>-3.2726779123917714E-3</c:v>
                </c:pt>
                <c:pt idx="122">
                  <c:v>-1.1897729927501903E-2</c:v>
                </c:pt>
                <c:pt idx="123">
                  <c:v>-1.6325696487757068E-2</c:v>
                </c:pt>
                <c:pt idx="124">
                  <c:v>-1.1893873192168888E-2</c:v>
                </c:pt>
                <c:pt idx="125">
                  <c:v>6.8129135549061552E-3</c:v>
                </c:pt>
                <c:pt idx="126">
                  <c:v>2.7441237597857559E-2</c:v>
                </c:pt>
                <c:pt idx="127">
                  <c:v>2.346866378038771E-2</c:v>
                </c:pt>
                <c:pt idx="128">
                  <c:v>3.0570792468628842E-3</c:v>
                </c:pt>
                <c:pt idx="129">
                  <c:v>5.6284171933968681E-3</c:v>
                </c:pt>
                <c:pt idx="130">
                  <c:v>-1.0390886173977112E-2</c:v>
                </c:pt>
                <c:pt idx="131">
                  <c:v>-2.4830602878930179E-2</c:v>
                </c:pt>
              </c:numCache>
            </c:numRef>
          </c:val>
          <c:smooth val="0"/>
          <c:extLst>
            <c:ext xmlns:c16="http://schemas.microsoft.com/office/drawing/2014/chart" uri="{C3380CC4-5D6E-409C-BE32-E72D297353CC}">
              <c16:uniqueId val="{00000000-BB0C-486A-AD84-A8F747488652}"/>
            </c:ext>
          </c:extLst>
        </c:ser>
        <c:ser>
          <c:idx val="1"/>
          <c:order val="1"/>
          <c:tx>
            <c:v>Discount rate</c:v>
          </c:tx>
          <c:marker>
            <c:symbol val="none"/>
          </c:marker>
          <c:val>
            <c:numRef>
              <c:f>'60 percent elasticity of GNP'!$R$12:$R$143</c:f>
              <c:numCache>
                <c:formatCode>General</c:formatCode>
                <c:ptCount val="132"/>
                <c:pt idx="0">
                  <c:v>4.5599999999999995E-2</c:v>
                </c:pt>
                <c:pt idx="1">
                  <c:v>4.5599999999999995E-2</c:v>
                </c:pt>
                <c:pt idx="2">
                  <c:v>4.5599999999999995E-2</c:v>
                </c:pt>
                <c:pt idx="3">
                  <c:v>4.5599999999999995E-2</c:v>
                </c:pt>
                <c:pt idx="4">
                  <c:v>4.5599999999999995E-2</c:v>
                </c:pt>
                <c:pt idx="5">
                  <c:v>4.5599999999999995E-2</c:v>
                </c:pt>
                <c:pt idx="6">
                  <c:v>4.5599999999999995E-2</c:v>
                </c:pt>
                <c:pt idx="7">
                  <c:v>4.5599999999999995E-2</c:v>
                </c:pt>
                <c:pt idx="8">
                  <c:v>4.5599999999999995E-2</c:v>
                </c:pt>
                <c:pt idx="9">
                  <c:v>4.5599999999999995E-2</c:v>
                </c:pt>
                <c:pt idx="10">
                  <c:v>4.7400000000000005E-2</c:v>
                </c:pt>
                <c:pt idx="11">
                  <c:v>4.7500000000000001E-2</c:v>
                </c:pt>
                <c:pt idx="12">
                  <c:v>5.1100000000000007E-2</c:v>
                </c:pt>
                <c:pt idx="13">
                  <c:v>0.06</c:v>
                </c:pt>
                <c:pt idx="14">
                  <c:v>0.06</c:v>
                </c:pt>
                <c:pt idx="15">
                  <c:v>0.06</c:v>
                </c:pt>
                <c:pt idx="16">
                  <c:v>0.06</c:v>
                </c:pt>
                <c:pt idx="17">
                  <c:v>7.0000000000000007E-2</c:v>
                </c:pt>
                <c:pt idx="18">
                  <c:v>7.0000000000000007E-2</c:v>
                </c:pt>
                <c:pt idx="19">
                  <c:v>7.0000000000000007E-2</c:v>
                </c:pt>
                <c:pt idx="20">
                  <c:v>7.0000000000000007E-2</c:v>
                </c:pt>
                <c:pt idx="21">
                  <c:v>7.0000000000000007E-2</c:v>
                </c:pt>
                <c:pt idx="22">
                  <c:v>7.0000000000000007E-2</c:v>
                </c:pt>
                <c:pt idx="23">
                  <c:v>7.0000000000000007E-2</c:v>
                </c:pt>
                <c:pt idx="24">
                  <c:v>7.0000000000000007E-2</c:v>
                </c:pt>
                <c:pt idx="25">
                  <c:v>7.0000000000000007E-2</c:v>
                </c:pt>
                <c:pt idx="26">
                  <c:v>7.0000000000000007E-2</c:v>
                </c:pt>
                <c:pt idx="27">
                  <c:v>7.0000000000000007E-2</c:v>
                </c:pt>
                <c:pt idx="28">
                  <c:v>6.5599999999999992E-2</c:v>
                </c:pt>
                <c:pt idx="29">
                  <c:v>6.25E-2</c:v>
                </c:pt>
                <c:pt idx="30">
                  <c:v>5.8200000000000002E-2</c:v>
                </c:pt>
                <c:pt idx="31">
                  <c:v>5.5E-2</c:v>
                </c:pt>
                <c:pt idx="32">
                  <c:v>5.3499999999999999E-2</c:v>
                </c:pt>
                <c:pt idx="33">
                  <c:v>0.05</c:v>
                </c:pt>
                <c:pt idx="34">
                  <c:v>4.53E-2</c:v>
                </c:pt>
                <c:pt idx="35">
                  <c:v>4.4999999999999998E-2</c:v>
                </c:pt>
                <c:pt idx="36">
                  <c:v>4.4999999999999998E-2</c:v>
                </c:pt>
                <c:pt idx="37">
                  <c:v>4.4999999999999998E-2</c:v>
                </c:pt>
                <c:pt idx="38">
                  <c:v>4.4999999999999998E-2</c:v>
                </c:pt>
                <c:pt idx="39">
                  <c:v>4.4999999999999998E-2</c:v>
                </c:pt>
                <c:pt idx="40">
                  <c:v>4.4999999999999998E-2</c:v>
                </c:pt>
                <c:pt idx="41">
                  <c:v>4.3499999999999997E-2</c:v>
                </c:pt>
                <c:pt idx="42">
                  <c:v>0.04</c:v>
                </c:pt>
                <c:pt idx="43">
                  <c:v>0.04</c:v>
                </c:pt>
                <c:pt idx="44">
                  <c:v>0.04</c:v>
                </c:pt>
                <c:pt idx="45">
                  <c:v>0.04</c:v>
                </c:pt>
                <c:pt idx="46">
                  <c:v>0.04</c:v>
                </c:pt>
                <c:pt idx="47">
                  <c:v>0.04</c:v>
                </c:pt>
                <c:pt idx="48">
                  <c:v>0.04</c:v>
                </c:pt>
                <c:pt idx="49">
                  <c:v>4.1100000000000005E-2</c:v>
                </c:pt>
                <c:pt idx="50">
                  <c:v>4.4999999999999998E-2</c:v>
                </c:pt>
                <c:pt idx="51">
                  <c:v>4.4999999999999998E-2</c:v>
                </c:pt>
                <c:pt idx="52">
                  <c:v>4.4999999999999998E-2</c:v>
                </c:pt>
                <c:pt idx="53">
                  <c:v>4.4999999999999998E-2</c:v>
                </c:pt>
                <c:pt idx="54">
                  <c:v>4.4999999999999998E-2</c:v>
                </c:pt>
                <c:pt idx="55">
                  <c:v>4.4999999999999998E-2</c:v>
                </c:pt>
                <c:pt idx="56">
                  <c:v>4.4999999999999998E-2</c:v>
                </c:pt>
                <c:pt idx="57">
                  <c:v>4.4999999999999998E-2</c:v>
                </c:pt>
                <c:pt idx="58">
                  <c:v>4.4999999999999998E-2</c:v>
                </c:pt>
                <c:pt idx="59">
                  <c:v>4.4999999999999998E-2</c:v>
                </c:pt>
                <c:pt idx="60">
                  <c:v>4.4999999999999998E-2</c:v>
                </c:pt>
                <c:pt idx="61">
                  <c:v>4.4999999999999998E-2</c:v>
                </c:pt>
                <c:pt idx="62">
                  <c:v>4.4999999999999998E-2</c:v>
                </c:pt>
                <c:pt idx="63">
                  <c:v>4.4999999999999998E-2</c:v>
                </c:pt>
                <c:pt idx="64">
                  <c:v>0.04</c:v>
                </c:pt>
                <c:pt idx="65">
                  <c:v>3.6799999999999999E-2</c:v>
                </c:pt>
                <c:pt idx="66">
                  <c:v>3.5000000000000003E-2</c:v>
                </c:pt>
                <c:pt idx="67">
                  <c:v>3.1099999999999999E-2</c:v>
                </c:pt>
                <c:pt idx="68">
                  <c:v>0.03</c:v>
                </c:pt>
                <c:pt idx="69">
                  <c:v>0.03</c:v>
                </c:pt>
                <c:pt idx="70">
                  <c:v>0.03</c:v>
                </c:pt>
                <c:pt idx="71">
                  <c:v>0.03</c:v>
                </c:pt>
                <c:pt idx="72">
                  <c:v>0.03</c:v>
                </c:pt>
                <c:pt idx="73">
                  <c:v>3.04E-2</c:v>
                </c:pt>
                <c:pt idx="74">
                  <c:v>3.5000000000000003E-2</c:v>
                </c:pt>
                <c:pt idx="75">
                  <c:v>3.5000000000000003E-2</c:v>
                </c:pt>
                <c:pt idx="76">
                  <c:v>3.5000000000000003E-2</c:v>
                </c:pt>
                <c:pt idx="77">
                  <c:v>3.5000000000000003E-2</c:v>
                </c:pt>
                <c:pt idx="78">
                  <c:v>3.5000000000000003E-2</c:v>
                </c:pt>
                <c:pt idx="79">
                  <c:v>3.5000000000000003E-2</c:v>
                </c:pt>
                <c:pt idx="80">
                  <c:v>3.5000000000000003E-2</c:v>
                </c:pt>
                <c:pt idx="81">
                  <c:v>3.5000000000000003E-2</c:v>
                </c:pt>
                <c:pt idx="82">
                  <c:v>3.5000000000000003E-2</c:v>
                </c:pt>
                <c:pt idx="83">
                  <c:v>3.5000000000000003E-2</c:v>
                </c:pt>
                <c:pt idx="84">
                  <c:v>3.8900000000000004E-2</c:v>
                </c:pt>
                <c:pt idx="85">
                  <c:v>0.04</c:v>
                </c:pt>
                <c:pt idx="86">
                  <c:v>0.04</c:v>
                </c:pt>
                <c:pt idx="87">
                  <c:v>3.8699999999999998E-2</c:v>
                </c:pt>
                <c:pt idx="88">
                  <c:v>3.5000000000000003E-2</c:v>
                </c:pt>
                <c:pt idx="89">
                  <c:v>3.5000000000000003E-2</c:v>
                </c:pt>
                <c:pt idx="90">
                  <c:v>3.5000000000000003E-2</c:v>
                </c:pt>
                <c:pt idx="91">
                  <c:v>3.8100000000000002E-2</c:v>
                </c:pt>
                <c:pt idx="92">
                  <c:v>0.04</c:v>
                </c:pt>
                <c:pt idx="93">
                  <c:v>0.04</c:v>
                </c:pt>
                <c:pt idx="94">
                  <c:v>0.04</c:v>
                </c:pt>
                <c:pt idx="95">
                  <c:v>0.04</c:v>
                </c:pt>
                <c:pt idx="96">
                  <c:v>0.04</c:v>
                </c:pt>
                <c:pt idx="97">
                  <c:v>0.04</c:v>
                </c:pt>
                <c:pt idx="98">
                  <c:v>0.04</c:v>
                </c:pt>
                <c:pt idx="99">
                  <c:v>0.04</c:v>
                </c:pt>
                <c:pt idx="100">
                  <c:v>0.04</c:v>
                </c:pt>
                <c:pt idx="101">
                  <c:v>0.04</c:v>
                </c:pt>
                <c:pt idx="102">
                  <c:v>0.04</c:v>
                </c:pt>
                <c:pt idx="103">
                  <c:v>3.56E-2</c:v>
                </c:pt>
                <c:pt idx="104">
                  <c:v>3.5000000000000003E-2</c:v>
                </c:pt>
                <c:pt idx="105">
                  <c:v>3.5000000000000003E-2</c:v>
                </c:pt>
                <c:pt idx="106">
                  <c:v>3.5000000000000003E-2</c:v>
                </c:pt>
                <c:pt idx="107">
                  <c:v>3.5000000000000003E-2</c:v>
                </c:pt>
                <c:pt idx="108">
                  <c:v>3.5000000000000003E-2</c:v>
                </c:pt>
                <c:pt idx="109">
                  <c:v>3.9699999999999999E-2</c:v>
                </c:pt>
                <c:pt idx="110">
                  <c:v>0.04</c:v>
                </c:pt>
                <c:pt idx="111">
                  <c:v>0.04</c:v>
                </c:pt>
                <c:pt idx="112">
                  <c:v>4.2300000000000004E-2</c:v>
                </c:pt>
                <c:pt idx="113">
                  <c:v>4.4999999999999998E-2</c:v>
                </c:pt>
                <c:pt idx="114">
                  <c:v>4.8099999999999997E-2</c:v>
                </c:pt>
                <c:pt idx="115">
                  <c:v>0.05</c:v>
                </c:pt>
                <c:pt idx="116">
                  <c:v>0.05</c:v>
                </c:pt>
                <c:pt idx="117">
                  <c:v>0.05</c:v>
                </c:pt>
                <c:pt idx="118">
                  <c:v>0.05</c:v>
                </c:pt>
                <c:pt idx="119">
                  <c:v>0.05</c:v>
                </c:pt>
                <c:pt idx="120">
                  <c:v>0.05</c:v>
                </c:pt>
                <c:pt idx="121">
                  <c:v>0.05</c:v>
                </c:pt>
                <c:pt idx="122">
                  <c:v>0.05</c:v>
                </c:pt>
                <c:pt idx="123">
                  <c:v>0.05</c:v>
                </c:pt>
                <c:pt idx="124">
                  <c:v>0.05</c:v>
                </c:pt>
                <c:pt idx="125">
                  <c:v>0.05</c:v>
                </c:pt>
                <c:pt idx="126">
                  <c:v>0.05</c:v>
                </c:pt>
                <c:pt idx="127">
                  <c:v>5.74E-2</c:v>
                </c:pt>
                <c:pt idx="128">
                  <c:v>0.06</c:v>
                </c:pt>
                <c:pt idx="129">
                  <c:v>0.06</c:v>
                </c:pt>
                <c:pt idx="130">
                  <c:v>4.7300000000000002E-2</c:v>
                </c:pt>
                <c:pt idx="131">
                  <c:v>4.4999999999999998E-2</c:v>
                </c:pt>
              </c:numCache>
            </c:numRef>
          </c:val>
          <c:smooth val="0"/>
          <c:extLst>
            <c:ext xmlns:c16="http://schemas.microsoft.com/office/drawing/2014/chart" uri="{C3380CC4-5D6E-409C-BE32-E72D297353CC}">
              <c16:uniqueId val="{00000001-BB0C-486A-AD84-A8F747488652}"/>
            </c:ext>
          </c:extLst>
        </c:ser>
        <c:dLbls>
          <c:showLegendKey val="0"/>
          <c:showVal val="0"/>
          <c:showCatName val="0"/>
          <c:showSerName val="0"/>
          <c:showPercent val="0"/>
          <c:showBubbleSize val="0"/>
        </c:dLbls>
        <c:smooth val="0"/>
        <c:axId val="319845848"/>
        <c:axId val="319845064"/>
      </c:lineChart>
      <c:dateAx>
        <c:axId val="319845848"/>
        <c:scaling>
          <c:orientation val="minMax"/>
        </c:scaling>
        <c:delete val="0"/>
        <c:axPos val="b"/>
        <c:numFmt formatCode="yyyy\-mm\-dd"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845064"/>
        <c:crosses val="autoZero"/>
        <c:auto val="1"/>
        <c:lblOffset val="100"/>
        <c:baseTimeUnit val="months"/>
      </c:dateAx>
      <c:valAx>
        <c:axId val="319845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845848"/>
        <c:crosses val="autoZero"/>
        <c:crossBetween val="between"/>
      </c:valAx>
      <c:spPr>
        <a:noFill/>
        <a:ln w="25400">
          <a:noFill/>
        </a:ln>
      </c:spPr>
    </c:plotArea>
    <c:legend>
      <c:legendPos val="b"/>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8</a:t>
            </a:r>
          </a:p>
          <a:p>
            <a:pPr>
              <a:defRPr/>
            </a:pPr>
            <a:r>
              <a:rPr lang="en-US"/>
              <a:t>Taylor</a:t>
            </a:r>
            <a:r>
              <a:rPr lang="en-US" baseline="0"/>
              <a:t> Rule vs Discount Rate, 1923-1929</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Taylor Rule</c:v>
          </c:tx>
          <c:spPr>
            <a:ln w="28575" cap="rnd">
              <a:solidFill>
                <a:schemeClr val="accent1"/>
              </a:solidFill>
              <a:round/>
            </a:ln>
            <a:effectLst/>
          </c:spPr>
          <c:marker>
            <c:symbol val="none"/>
          </c:marker>
          <c:cat>
            <c:numRef>
              <c:f>'60 percent elasticity of GNP'!$A$60:$A$143</c:f>
              <c:numCache>
                <c:formatCode>yyyy\-mm\-dd</c:formatCode>
                <c:ptCount val="84"/>
                <c:pt idx="0">
                  <c:v>8402</c:v>
                </c:pt>
                <c:pt idx="1">
                  <c:v>8433</c:v>
                </c:pt>
                <c:pt idx="2">
                  <c:v>8461</c:v>
                </c:pt>
                <c:pt idx="3">
                  <c:v>8492</c:v>
                </c:pt>
                <c:pt idx="4">
                  <c:v>8522</c:v>
                </c:pt>
                <c:pt idx="5">
                  <c:v>8553</c:v>
                </c:pt>
                <c:pt idx="6">
                  <c:v>8583</c:v>
                </c:pt>
                <c:pt idx="7">
                  <c:v>8614</c:v>
                </c:pt>
                <c:pt idx="8">
                  <c:v>8645</c:v>
                </c:pt>
                <c:pt idx="9">
                  <c:v>8675</c:v>
                </c:pt>
                <c:pt idx="10">
                  <c:v>8706</c:v>
                </c:pt>
                <c:pt idx="11">
                  <c:v>8736</c:v>
                </c:pt>
                <c:pt idx="12">
                  <c:v>8767</c:v>
                </c:pt>
                <c:pt idx="13">
                  <c:v>8798</c:v>
                </c:pt>
                <c:pt idx="14">
                  <c:v>8827</c:v>
                </c:pt>
                <c:pt idx="15">
                  <c:v>8858</c:v>
                </c:pt>
                <c:pt idx="16">
                  <c:v>8888</c:v>
                </c:pt>
                <c:pt idx="17">
                  <c:v>8919</c:v>
                </c:pt>
                <c:pt idx="18">
                  <c:v>8949</c:v>
                </c:pt>
                <c:pt idx="19">
                  <c:v>8980</c:v>
                </c:pt>
                <c:pt idx="20">
                  <c:v>9011</c:v>
                </c:pt>
                <c:pt idx="21">
                  <c:v>9041</c:v>
                </c:pt>
                <c:pt idx="22">
                  <c:v>9072</c:v>
                </c:pt>
                <c:pt idx="23">
                  <c:v>9102</c:v>
                </c:pt>
                <c:pt idx="24">
                  <c:v>9133</c:v>
                </c:pt>
                <c:pt idx="25">
                  <c:v>9164</c:v>
                </c:pt>
                <c:pt idx="26">
                  <c:v>9192</c:v>
                </c:pt>
                <c:pt idx="27">
                  <c:v>9223</c:v>
                </c:pt>
                <c:pt idx="28">
                  <c:v>9253</c:v>
                </c:pt>
                <c:pt idx="29">
                  <c:v>9284</c:v>
                </c:pt>
                <c:pt idx="30">
                  <c:v>9314</c:v>
                </c:pt>
                <c:pt idx="31">
                  <c:v>9345</c:v>
                </c:pt>
                <c:pt idx="32">
                  <c:v>9376</c:v>
                </c:pt>
                <c:pt idx="33">
                  <c:v>9406</c:v>
                </c:pt>
                <c:pt idx="34">
                  <c:v>9437</c:v>
                </c:pt>
                <c:pt idx="35">
                  <c:v>9467</c:v>
                </c:pt>
                <c:pt idx="36">
                  <c:v>9498</c:v>
                </c:pt>
                <c:pt idx="37">
                  <c:v>9529</c:v>
                </c:pt>
                <c:pt idx="38">
                  <c:v>9557</c:v>
                </c:pt>
                <c:pt idx="39">
                  <c:v>9588</c:v>
                </c:pt>
                <c:pt idx="40">
                  <c:v>9618</c:v>
                </c:pt>
                <c:pt idx="41">
                  <c:v>9649</c:v>
                </c:pt>
                <c:pt idx="42">
                  <c:v>9679</c:v>
                </c:pt>
                <c:pt idx="43">
                  <c:v>9710</c:v>
                </c:pt>
                <c:pt idx="44">
                  <c:v>9741</c:v>
                </c:pt>
                <c:pt idx="45">
                  <c:v>9771</c:v>
                </c:pt>
                <c:pt idx="46">
                  <c:v>9802</c:v>
                </c:pt>
                <c:pt idx="47">
                  <c:v>9832</c:v>
                </c:pt>
                <c:pt idx="48">
                  <c:v>9863</c:v>
                </c:pt>
                <c:pt idx="49">
                  <c:v>9894</c:v>
                </c:pt>
                <c:pt idx="50">
                  <c:v>9922</c:v>
                </c:pt>
                <c:pt idx="51">
                  <c:v>9953</c:v>
                </c:pt>
                <c:pt idx="52">
                  <c:v>9983</c:v>
                </c:pt>
                <c:pt idx="53">
                  <c:v>10014</c:v>
                </c:pt>
                <c:pt idx="54">
                  <c:v>10044</c:v>
                </c:pt>
                <c:pt idx="55">
                  <c:v>10075</c:v>
                </c:pt>
                <c:pt idx="56">
                  <c:v>10106</c:v>
                </c:pt>
                <c:pt idx="57">
                  <c:v>10136</c:v>
                </c:pt>
                <c:pt idx="58">
                  <c:v>10167</c:v>
                </c:pt>
                <c:pt idx="59">
                  <c:v>10197</c:v>
                </c:pt>
                <c:pt idx="60">
                  <c:v>10228</c:v>
                </c:pt>
                <c:pt idx="61">
                  <c:v>10259</c:v>
                </c:pt>
                <c:pt idx="62">
                  <c:v>10288</c:v>
                </c:pt>
                <c:pt idx="63">
                  <c:v>10319</c:v>
                </c:pt>
                <c:pt idx="64">
                  <c:v>10349</c:v>
                </c:pt>
                <c:pt idx="65">
                  <c:v>10380</c:v>
                </c:pt>
                <c:pt idx="66">
                  <c:v>10410</c:v>
                </c:pt>
                <c:pt idx="67">
                  <c:v>10441</c:v>
                </c:pt>
                <c:pt idx="68">
                  <c:v>10472</c:v>
                </c:pt>
                <c:pt idx="69">
                  <c:v>10502</c:v>
                </c:pt>
                <c:pt idx="70">
                  <c:v>10533</c:v>
                </c:pt>
                <c:pt idx="71">
                  <c:v>10563</c:v>
                </c:pt>
                <c:pt idx="72">
                  <c:v>10594</c:v>
                </c:pt>
                <c:pt idx="73">
                  <c:v>10625</c:v>
                </c:pt>
                <c:pt idx="74">
                  <c:v>10653</c:v>
                </c:pt>
                <c:pt idx="75">
                  <c:v>10684</c:v>
                </c:pt>
                <c:pt idx="76">
                  <c:v>10714</c:v>
                </c:pt>
                <c:pt idx="77">
                  <c:v>10745</c:v>
                </c:pt>
                <c:pt idx="78">
                  <c:v>10775</c:v>
                </c:pt>
                <c:pt idx="79">
                  <c:v>10806</c:v>
                </c:pt>
                <c:pt idx="80">
                  <c:v>10837</c:v>
                </c:pt>
                <c:pt idx="81">
                  <c:v>10867</c:v>
                </c:pt>
                <c:pt idx="82">
                  <c:v>10898</c:v>
                </c:pt>
                <c:pt idx="83">
                  <c:v>10928</c:v>
                </c:pt>
              </c:numCache>
            </c:numRef>
          </c:cat>
          <c:val>
            <c:numRef>
              <c:f>'60 percent elasticity of GNP'!$P$60:$P$143</c:f>
              <c:numCache>
                <c:formatCode>0.00</c:formatCode>
                <c:ptCount val="84"/>
                <c:pt idx="0">
                  <c:v>-2.1669127635842091E-2</c:v>
                </c:pt>
                <c:pt idx="1">
                  <c:v>-1.8439216147323724E-2</c:v>
                </c:pt>
                <c:pt idx="2">
                  <c:v>7.9509352596719152E-3</c:v>
                </c:pt>
                <c:pt idx="3">
                  <c:v>2.2510729638061024E-2</c:v>
                </c:pt>
                <c:pt idx="4">
                  <c:v>2.5473745530427142E-2</c:v>
                </c:pt>
                <c:pt idx="5">
                  <c:v>3.0845166407913478E-2</c:v>
                </c:pt>
                <c:pt idx="6">
                  <c:v>3.5928726003594862E-2</c:v>
                </c:pt>
                <c:pt idx="7">
                  <c:v>3.8974581999090652E-2</c:v>
                </c:pt>
                <c:pt idx="8">
                  <c:v>4.0102501165053955E-2</c:v>
                </c:pt>
                <c:pt idx="9">
                  <c:v>3.7523713016332561E-2</c:v>
                </c:pt>
                <c:pt idx="10">
                  <c:v>2.7661511536576578E-2</c:v>
                </c:pt>
                <c:pt idx="11">
                  <c:v>1.0955838088901479E-2</c:v>
                </c:pt>
                <c:pt idx="12">
                  <c:v>2.5847609536576534E-2</c:v>
                </c:pt>
                <c:pt idx="13">
                  <c:v>2.1647358368896547E-2</c:v>
                </c:pt>
                <c:pt idx="14">
                  <c:v>6.5916505438978895E-3</c:v>
                </c:pt>
                <c:pt idx="15">
                  <c:v>-2.1716412663127745E-2</c:v>
                </c:pt>
                <c:pt idx="16">
                  <c:v>-3.5576790089115615E-2</c:v>
                </c:pt>
                <c:pt idx="17">
                  <c:v>-5.8871393576287311E-2</c:v>
                </c:pt>
                <c:pt idx="18">
                  <c:v>-7.3174727160761677E-2</c:v>
                </c:pt>
                <c:pt idx="19">
                  <c:v>-6.338926346753046E-2</c:v>
                </c:pt>
                <c:pt idx="20">
                  <c:v>-5.3872694583771294E-2</c:v>
                </c:pt>
                <c:pt idx="21">
                  <c:v>-4.7534557953445161E-2</c:v>
                </c:pt>
                <c:pt idx="22">
                  <c:v>-4.2805618799646103E-2</c:v>
                </c:pt>
                <c:pt idx="23">
                  <c:v>-2.6761796520310792E-2</c:v>
                </c:pt>
                <c:pt idx="24">
                  <c:v>-1.8313137285533902E-2</c:v>
                </c:pt>
                <c:pt idx="25">
                  <c:v>-1.9220088285533926E-2</c:v>
                </c:pt>
                <c:pt idx="26">
                  <c:v>-2.6849822928554645E-3</c:v>
                </c:pt>
                <c:pt idx="27">
                  <c:v>-8.689314669098093E-4</c:v>
                </c:pt>
                <c:pt idx="28">
                  <c:v>5.6097164088518281E-3</c:v>
                </c:pt>
                <c:pt idx="29">
                  <c:v>1.9316737966464374E-2</c:v>
                </c:pt>
                <c:pt idx="30">
                  <c:v>3.4482078849131029E-2</c:v>
                </c:pt>
                <c:pt idx="31">
                  <c:v>3.7176070522926943E-2</c:v>
                </c:pt>
                <c:pt idx="32">
                  <c:v>2.3516418886669062E-2</c:v>
                </c:pt>
                <c:pt idx="33">
                  <c:v>2.5579841305351087E-2</c:v>
                </c:pt>
                <c:pt idx="34">
                  <c:v>5.619939236557539E-2</c:v>
                </c:pt>
                <c:pt idx="35">
                  <c:v>4.1965918355257724E-2</c:v>
                </c:pt>
                <c:pt idx="36">
                  <c:v>3.6077867858930933E-2</c:v>
                </c:pt>
                <c:pt idx="37">
                  <c:v>4.3866593385419733E-2</c:v>
                </c:pt>
                <c:pt idx="38">
                  <c:v>2.9606448527552856E-2</c:v>
                </c:pt>
                <c:pt idx="39">
                  <c:v>4.579855737704619E-2</c:v>
                </c:pt>
                <c:pt idx="40">
                  <c:v>2.5302058941898502E-2</c:v>
                </c:pt>
                <c:pt idx="41">
                  <c:v>2.4285333162662008E-3</c:v>
                </c:pt>
                <c:pt idx="42">
                  <c:v>-3.1339525287634264E-2</c:v>
                </c:pt>
                <c:pt idx="43">
                  <c:v>-3.717291274738245E-2</c:v>
                </c:pt>
                <c:pt idx="44">
                  <c:v>-2.4667301381917552E-2</c:v>
                </c:pt>
                <c:pt idx="45">
                  <c:v>-1.7027220709960725E-2</c:v>
                </c:pt>
                <c:pt idx="46">
                  <c:v>-3.5842032434961611E-2</c:v>
                </c:pt>
                <c:pt idx="47">
                  <c:v>-2.9592990871272019E-2</c:v>
                </c:pt>
                <c:pt idx="48">
                  <c:v>-4.8755485608912782E-2</c:v>
                </c:pt>
                <c:pt idx="49">
                  <c:v>-5.5847967899728741E-2</c:v>
                </c:pt>
                <c:pt idx="50">
                  <c:v>-5.3419510979336927E-2</c:v>
                </c:pt>
                <c:pt idx="51">
                  <c:v>-6.992818772289619E-2</c:v>
                </c:pt>
                <c:pt idx="52">
                  <c:v>-5.1366012587217805E-2</c:v>
                </c:pt>
                <c:pt idx="53">
                  <c:v>-2.7889099036567312E-2</c:v>
                </c:pt>
                <c:pt idx="54">
                  <c:v>-4.1189161812440908E-2</c:v>
                </c:pt>
                <c:pt idx="55">
                  <c:v>-4.2195777275452352E-2</c:v>
                </c:pt>
                <c:pt idx="56">
                  <c:v>-4.7943150601307501E-2</c:v>
                </c:pt>
                <c:pt idx="57">
                  <c:v>-5.504095752451782E-2</c:v>
                </c:pt>
                <c:pt idx="58">
                  <c:v>-7.3092071903158543E-2</c:v>
                </c:pt>
                <c:pt idx="59">
                  <c:v>-7.2727724419955467E-2</c:v>
                </c:pt>
                <c:pt idx="60">
                  <c:v>-5.0325976302509526E-2</c:v>
                </c:pt>
                <c:pt idx="61">
                  <c:v>-5.7613570379965548E-2</c:v>
                </c:pt>
                <c:pt idx="62">
                  <c:v>-4.7425114545306124E-2</c:v>
                </c:pt>
                <c:pt idx="63">
                  <c:v>-4.9552208666517231E-2</c:v>
                </c:pt>
                <c:pt idx="64">
                  <c:v>-4.6708187334665724E-2</c:v>
                </c:pt>
                <c:pt idx="65">
                  <c:v>-7.1094081763628067E-2</c:v>
                </c:pt>
                <c:pt idx="66">
                  <c:v>-4.2634850280556705E-2</c:v>
                </c:pt>
                <c:pt idx="67">
                  <c:v>-2.8975250005414392E-2</c:v>
                </c:pt>
                <c:pt idx="68">
                  <c:v>-1.8818406922728986E-2</c:v>
                </c:pt>
                <c:pt idx="69">
                  <c:v>-3.1352295254178639E-2</c:v>
                </c:pt>
                <c:pt idx="70">
                  <c:v>-1.8006205488347988E-2</c:v>
                </c:pt>
                <c:pt idx="71">
                  <c:v>-2.2154945886625286E-2</c:v>
                </c:pt>
                <c:pt idx="72">
                  <c:v>-1.8728205741583303E-2</c:v>
                </c:pt>
                <c:pt idx="73">
                  <c:v>-3.2726779123917714E-3</c:v>
                </c:pt>
                <c:pt idx="74">
                  <c:v>-1.1897729927501903E-2</c:v>
                </c:pt>
                <c:pt idx="75">
                  <c:v>-1.6325696487757068E-2</c:v>
                </c:pt>
                <c:pt idx="76">
                  <c:v>-1.1893873192168888E-2</c:v>
                </c:pt>
                <c:pt idx="77">
                  <c:v>6.8129135549061552E-3</c:v>
                </c:pt>
                <c:pt idx="78">
                  <c:v>2.7441237597857559E-2</c:v>
                </c:pt>
                <c:pt idx="79">
                  <c:v>2.346866378038771E-2</c:v>
                </c:pt>
                <c:pt idx="80">
                  <c:v>3.0570792468628842E-3</c:v>
                </c:pt>
                <c:pt idx="81">
                  <c:v>5.6284171933968681E-3</c:v>
                </c:pt>
                <c:pt idx="82">
                  <c:v>-1.0390886173977112E-2</c:v>
                </c:pt>
                <c:pt idx="83">
                  <c:v>-2.4830602878930179E-2</c:v>
                </c:pt>
              </c:numCache>
            </c:numRef>
          </c:val>
          <c:smooth val="0"/>
          <c:extLst>
            <c:ext xmlns:c16="http://schemas.microsoft.com/office/drawing/2014/chart" uri="{C3380CC4-5D6E-409C-BE32-E72D297353CC}">
              <c16:uniqueId val="{00000000-2AF6-4620-BF75-3BC2A46F4E46}"/>
            </c:ext>
          </c:extLst>
        </c:ser>
        <c:ser>
          <c:idx val="1"/>
          <c:order val="1"/>
          <c:tx>
            <c:v>Discount rate</c:v>
          </c:tx>
          <c:spPr>
            <a:ln w="28575" cap="rnd">
              <a:solidFill>
                <a:schemeClr val="accent2"/>
              </a:solidFill>
              <a:round/>
            </a:ln>
            <a:effectLst/>
          </c:spPr>
          <c:marker>
            <c:symbol val="none"/>
          </c:marker>
          <c:cat>
            <c:numRef>
              <c:f>'60 percent elasticity of GNP'!$A$60:$A$143</c:f>
              <c:numCache>
                <c:formatCode>yyyy\-mm\-dd</c:formatCode>
                <c:ptCount val="84"/>
                <c:pt idx="0">
                  <c:v>8402</c:v>
                </c:pt>
                <c:pt idx="1">
                  <c:v>8433</c:v>
                </c:pt>
                <c:pt idx="2">
                  <c:v>8461</c:v>
                </c:pt>
                <c:pt idx="3">
                  <c:v>8492</c:v>
                </c:pt>
                <c:pt idx="4">
                  <c:v>8522</c:v>
                </c:pt>
                <c:pt idx="5">
                  <c:v>8553</c:v>
                </c:pt>
                <c:pt idx="6">
                  <c:v>8583</c:v>
                </c:pt>
                <c:pt idx="7">
                  <c:v>8614</c:v>
                </c:pt>
                <c:pt idx="8">
                  <c:v>8645</c:v>
                </c:pt>
                <c:pt idx="9">
                  <c:v>8675</c:v>
                </c:pt>
                <c:pt idx="10">
                  <c:v>8706</c:v>
                </c:pt>
                <c:pt idx="11">
                  <c:v>8736</c:v>
                </c:pt>
                <c:pt idx="12">
                  <c:v>8767</c:v>
                </c:pt>
                <c:pt idx="13">
                  <c:v>8798</c:v>
                </c:pt>
                <c:pt idx="14">
                  <c:v>8827</c:v>
                </c:pt>
                <c:pt idx="15">
                  <c:v>8858</c:v>
                </c:pt>
                <c:pt idx="16">
                  <c:v>8888</c:v>
                </c:pt>
                <c:pt idx="17">
                  <c:v>8919</c:v>
                </c:pt>
                <c:pt idx="18">
                  <c:v>8949</c:v>
                </c:pt>
                <c:pt idx="19">
                  <c:v>8980</c:v>
                </c:pt>
                <c:pt idx="20">
                  <c:v>9011</c:v>
                </c:pt>
                <c:pt idx="21">
                  <c:v>9041</c:v>
                </c:pt>
                <c:pt idx="22">
                  <c:v>9072</c:v>
                </c:pt>
                <c:pt idx="23">
                  <c:v>9102</c:v>
                </c:pt>
                <c:pt idx="24">
                  <c:v>9133</c:v>
                </c:pt>
                <c:pt idx="25">
                  <c:v>9164</c:v>
                </c:pt>
                <c:pt idx="26">
                  <c:v>9192</c:v>
                </c:pt>
                <c:pt idx="27">
                  <c:v>9223</c:v>
                </c:pt>
                <c:pt idx="28">
                  <c:v>9253</c:v>
                </c:pt>
                <c:pt idx="29">
                  <c:v>9284</c:v>
                </c:pt>
                <c:pt idx="30">
                  <c:v>9314</c:v>
                </c:pt>
                <c:pt idx="31">
                  <c:v>9345</c:v>
                </c:pt>
                <c:pt idx="32">
                  <c:v>9376</c:v>
                </c:pt>
                <c:pt idx="33">
                  <c:v>9406</c:v>
                </c:pt>
                <c:pt idx="34">
                  <c:v>9437</c:v>
                </c:pt>
                <c:pt idx="35">
                  <c:v>9467</c:v>
                </c:pt>
                <c:pt idx="36">
                  <c:v>9498</c:v>
                </c:pt>
                <c:pt idx="37">
                  <c:v>9529</c:v>
                </c:pt>
                <c:pt idx="38">
                  <c:v>9557</c:v>
                </c:pt>
                <c:pt idx="39">
                  <c:v>9588</c:v>
                </c:pt>
                <c:pt idx="40">
                  <c:v>9618</c:v>
                </c:pt>
                <c:pt idx="41">
                  <c:v>9649</c:v>
                </c:pt>
                <c:pt idx="42">
                  <c:v>9679</c:v>
                </c:pt>
                <c:pt idx="43">
                  <c:v>9710</c:v>
                </c:pt>
                <c:pt idx="44">
                  <c:v>9741</c:v>
                </c:pt>
                <c:pt idx="45">
                  <c:v>9771</c:v>
                </c:pt>
                <c:pt idx="46">
                  <c:v>9802</c:v>
                </c:pt>
                <c:pt idx="47">
                  <c:v>9832</c:v>
                </c:pt>
                <c:pt idx="48">
                  <c:v>9863</c:v>
                </c:pt>
                <c:pt idx="49">
                  <c:v>9894</c:v>
                </c:pt>
                <c:pt idx="50">
                  <c:v>9922</c:v>
                </c:pt>
                <c:pt idx="51">
                  <c:v>9953</c:v>
                </c:pt>
                <c:pt idx="52">
                  <c:v>9983</c:v>
                </c:pt>
                <c:pt idx="53">
                  <c:v>10014</c:v>
                </c:pt>
                <c:pt idx="54">
                  <c:v>10044</c:v>
                </c:pt>
                <c:pt idx="55">
                  <c:v>10075</c:v>
                </c:pt>
                <c:pt idx="56">
                  <c:v>10106</c:v>
                </c:pt>
                <c:pt idx="57">
                  <c:v>10136</c:v>
                </c:pt>
                <c:pt idx="58">
                  <c:v>10167</c:v>
                </c:pt>
                <c:pt idx="59">
                  <c:v>10197</c:v>
                </c:pt>
                <c:pt idx="60">
                  <c:v>10228</c:v>
                </c:pt>
                <c:pt idx="61">
                  <c:v>10259</c:v>
                </c:pt>
                <c:pt idx="62">
                  <c:v>10288</c:v>
                </c:pt>
                <c:pt idx="63">
                  <c:v>10319</c:v>
                </c:pt>
                <c:pt idx="64">
                  <c:v>10349</c:v>
                </c:pt>
                <c:pt idx="65">
                  <c:v>10380</c:v>
                </c:pt>
                <c:pt idx="66">
                  <c:v>10410</c:v>
                </c:pt>
                <c:pt idx="67">
                  <c:v>10441</c:v>
                </c:pt>
                <c:pt idx="68">
                  <c:v>10472</c:v>
                </c:pt>
                <c:pt idx="69">
                  <c:v>10502</c:v>
                </c:pt>
                <c:pt idx="70">
                  <c:v>10533</c:v>
                </c:pt>
                <c:pt idx="71">
                  <c:v>10563</c:v>
                </c:pt>
                <c:pt idx="72">
                  <c:v>10594</c:v>
                </c:pt>
                <c:pt idx="73">
                  <c:v>10625</c:v>
                </c:pt>
                <c:pt idx="74">
                  <c:v>10653</c:v>
                </c:pt>
                <c:pt idx="75">
                  <c:v>10684</c:v>
                </c:pt>
                <c:pt idx="76">
                  <c:v>10714</c:v>
                </c:pt>
                <c:pt idx="77">
                  <c:v>10745</c:v>
                </c:pt>
                <c:pt idx="78">
                  <c:v>10775</c:v>
                </c:pt>
                <c:pt idx="79">
                  <c:v>10806</c:v>
                </c:pt>
                <c:pt idx="80">
                  <c:v>10837</c:v>
                </c:pt>
                <c:pt idx="81">
                  <c:v>10867</c:v>
                </c:pt>
                <c:pt idx="82">
                  <c:v>10898</c:v>
                </c:pt>
                <c:pt idx="83">
                  <c:v>10928</c:v>
                </c:pt>
              </c:numCache>
            </c:numRef>
          </c:cat>
          <c:val>
            <c:numRef>
              <c:f>'60 percent elasticity of GNP'!$R$60:$R$143</c:f>
              <c:numCache>
                <c:formatCode>General</c:formatCode>
                <c:ptCount val="84"/>
                <c:pt idx="0">
                  <c:v>0.04</c:v>
                </c:pt>
                <c:pt idx="1">
                  <c:v>4.1100000000000005E-2</c:v>
                </c:pt>
                <c:pt idx="2">
                  <c:v>4.4999999999999998E-2</c:v>
                </c:pt>
                <c:pt idx="3">
                  <c:v>4.4999999999999998E-2</c:v>
                </c:pt>
                <c:pt idx="4">
                  <c:v>4.4999999999999998E-2</c:v>
                </c:pt>
                <c:pt idx="5">
                  <c:v>4.4999999999999998E-2</c:v>
                </c:pt>
                <c:pt idx="6">
                  <c:v>4.4999999999999998E-2</c:v>
                </c:pt>
                <c:pt idx="7">
                  <c:v>4.4999999999999998E-2</c:v>
                </c:pt>
                <c:pt idx="8">
                  <c:v>4.4999999999999998E-2</c:v>
                </c:pt>
                <c:pt idx="9">
                  <c:v>4.4999999999999998E-2</c:v>
                </c:pt>
                <c:pt idx="10">
                  <c:v>4.4999999999999998E-2</c:v>
                </c:pt>
                <c:pt idx="11">
                  <c:v>4.4999999999999998E-2</c:v>
                </c:pt>
                <c:pt idx="12">
                  <c:v>4.4999999999999998E-2</c:v>
                </c:pt>
                <c:pt idx="13">
                  <c:v>4.4999999999999998E-2</c:v>
                </c:pt>
                <c:pt idx="14">
                  <c:v>4.4999999999999998E-2</c:v>
                </c:pt>
                <c:pt idx="15">
                  <c:v>4.4999999999999998E-2</c:v>
                </c:pt>
                <c:pt idx="16">
                  <c:v>0.04</c:v>
                </c:pt>
                <c:pt idx="17">
                  <c:v>3.6799999999999999E-2</c:v>
                </c:pt>
                <c:pt idx="18">
                  <c:v>3.5000000000000003E-2</c:v>
                </c:pt>
                <c:pt idx="19">
                  <c:v>3.1099999999999999E-2</c:v>
                </c:pt>
                <c:pt idx="20">
                  <c:v>0.03</c:v>
                </c:pt>
                <c:pt idx="21">
                  <c:v>0.03</c:v>
                </c:pt>
                <c:pt idx="22">
                  <c:v>0.03</c:v>
                </c:pt>
                <c:pt idx="23">
                  <c:v>0.03</c:v>
                </c:pt>
                <c:pt idx="24">
                  <c:v>0.03</c:v>
                </c:pt>
                <c:pt idx="25">
                  <c:v>3.04E-2</c:v>
                </c:pt>
                <c:pt idx="26">
                  <c:v>3.5000000000000003E-2</c:v>
                </c:pt>
                <c:pt idx="27">
                  <c:v>3.5000000000000003E-2</c:v>
                </c:pt>
                <c:pt idx="28">
                  <c:v>3.5000000000000003E-2</c:v>
                </c:pt>
                <c:pt idx="29">
                  <c:v>3.5000000000000003E-2</c:v>
                </c:pt>
                <c:pt idx="30">
                  <c:v>3.5000000000000003E-2</c:v>
                </c:pt>
                <c:pt idx="31">
                  <c:v>3.5000000000000003E-2</c:v>
                </c:pt>
                <c:pt idx="32">
                  <c:v>3.5000000000000003E-2</c:v>
                </c:pt>
                <c:pt idx="33">
                  <c:v>3.5000000000000003E-2</c:v>
                </c:pt>
                <c:pt idx="34">
                  <c:v>3.5000000000000003E-2</c:v>
                </c:pt>
                <c:pt idx="35">
                  <c:v>3.5000000000000003E-2</c:v>
                </c:pt>
                <c:pt idx="36">
                  <c:v>3.8900000000000004E-2</c:v>
                </c:pt>
                <c:pt idx="37">
                  <c:v>0.04</c:v>
                </c:pt>
                <c:pt idx="38">
                  <c:v>0.04</c:v>
                </c:pt>
                <c:pt idx="39">
                  <c:v>3.8699999999999998E-2</c:v>
                </c:pt>
                <c:pt idx="40">
                  <c:v>3.5000000000000003E-2</c:v>
                </c:pt>
                <c:pt idx="41">
                  <c:v>3.5000000000000003E-2</c:v>
                </c:pt>
                <c:pt idx="42">
                  <c:v>3.5000000000000003E-2</c:v>
                </c:pt>
                <c:pt idx="43">
                  <c:v>3.8100000000000002E-2</c:v>
                </c:pt>
                <c:pt idx="44">
                  <c:v>0.04</c:v>
                </c:pt>
                <c:pt idx="45">
                  <c:v>0.04</c:v>
                </c:pt>
                <c:pt idx="46">
                  <c:v>0.04</c:v>
                </c:pt>
                <c:pt idx="47">
                  <c:v>0.04</c:v>
                </c:pt>
                <c:pt idx="48">
                  <c:v>0.04</c:v>
                </c:pt>
                <c:pt idx="49">
                  <c:v>0.04</c:v>
                </c:pt>
                <c:pt idx="50">
                  <c:v>0.04</c:v>
                </c:pt>
                <c:pt idx="51">
                  <c:v>0.04</c:v>
                </c:pt>
                <c:pt idx="52">
                  <c:v>0.04</c:v>
                </c:pt>
                <c:pt idx="53">
                  <c:v>0.04</c:v>
                </c:pt>
                <c:pt idx="54">
                  <c:v>0.04</c:v>
                </c:pt>
                <c:pt idx="55">
                  <c:v>3.56E-2</c:v>
                </c:pt>
                <c:pt idx="56">
                  <c:v>3.5000000000000003E-2</c:v>
                </c:pt>
                <c:pt idx="57">
                  <c:v>3.5000000000000003E-2</c:v>
                </c:pt>
                <c:pt idx="58">
                  <c:v>3.5000000000000003E-2</c:v>
                </c:pt>
                <c:pt idx="59">
                  <c:v>3.5000000000000003E-2</c:v>
                </c:pt>
                <c:pt idx="60">
                  <c:v>3.5000000000000003E-2</c:v>
                </c:pt>
                <c:pt idx="61">
                  <c:v>3.9699999999999999E-2</c:v>
                </c:pt>
                <c:pt idx="62">
                  <c:v>0.04</c:v>
                </c:pt>
                <c:pt idx="63">
                  <c:v>0.04</c:v>
                </c:pt>
                <c:pt idx="64">
                  <c:v>4.2300000000000004E-2</c:v>
                </c:pt>
                <c:pt idx="65">
                  <c:v>4.4999999999999998E-2</c:v>
                </c:pt>
                <c:pt idx="66">
                  <c:v>4.8099999999999997E-2</c:v>
                </c:pt>
                <c:pt idx="67">
                  <c:v>0.05</c:v>
                </c:pt>
                <c:pt idx="68">
                  <c:v>0.05</c:v>
                </c:pt>
                <c:pt idx="69">
                  <c:v>0.05</c:v>
                </c:pt>
                <c:pt idx="70">
                  <c:v>0.05</c:v>
                </c:pt>
                <c:pt idx="71">
                  <c:v>0.05</c:v>
                </c:pt>
                <c:pt idx="72">
                  <c:v>0.05</c:v>
                </c:pt>
                <c:pt idx="73">
                  <c:v>0.05</c:v>
                </c:pt>
                <c:pt idx="74">
                  <c:v>0.05</c:v>
                </c:pt>
                <c:pt idx="75">
                  <c:v>0.05</c:v>
                </c:pt>
                <c:pt idx="76">
                  <c:v>0.05</c:v>
                </c:pt>
                <c:pt idx="77">
                  <c:v>0.05</c:v>
                </c:pt>
                <c:pt idx="78">
                  <c:v>0.05</c:v>
                </c:pt>
                <c:pt idx="79">
                  <c:v>5.74E-2</c:v>
                </c:pt>
                <c:pt idx="80">
                  <c:v>0.06</c:v>
                </c:pt>
                <c:pt idx="81">
                  <c:v>0.06</c:v>
                </c:pt>
                <c:pt idx="82">
                  <c:v>4.7300000000000002E-2</c:v>
                </c:pt>
                <c:pt idx="83">
                  <c:v>4.4999999999999998E-2</c:v>
                </c:pt>
              </c:numCache>
            </c:numRef>
          </c:val>
          <c:smooth val="0"/>
          <c:extLst>
            <c:ext xmlns:c16="http://schemas.microsoft.com/office/drawing/2014/chart" uri="{C3380CC4-5D6E-409C-BE32-E72D297353CC}">
              <c16:uniqueId val="{00000001-2AF6-4620-BF75-3BC2A46F4E46}"/>
            </c:ext>
          </c:extLst>
        </c:ser>
        <c:dLbls>
          <c:showLegendKey val="0"/>
          <c:showVal val="0"/>
          <c:showCatName val="0"/>
          <c:showSerName val="0"/>
          <c:showPercent val="0"/>
          <c:showBubbleSize val="0"/>
        </c:dLbls>
        <c:smooth val="0"/>
        <c:axId val="319845456"/>
        <c:axId val="319841144"/>
      </c:lineChart>
      <c:dateAx>
        <c:axId val="319845456"/>
        <c:scaling>
          <c:orientation val="minMax"/>
        </c:scaling>
        <c:delete val="0"/>
        <c:axPos val="b"/>
        <c:numFmt formatCode="yyyy\-mm\-d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841144"/>
        <c:crosses val="autoZero"/>
        <c:auto val="1"/>
        <c:lblOffset val="100"/>
        <c:baseTimeUnit val="months"/>
      </c:dateAx>
      <c:valAx>
        <c:axId val="31984114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9845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a:t>
            </a:r>
            <a:r>
              <a:rPr lang="en-US" baseline="0"/>
              <a:t> 9</a:t>
            </a:r>
          </a:p>
          <a:p>
            <a:pPr>
              <a:defRPr/>
            </a:pPr>
            <a:r>
              <a:rPr lang="en-US"/>
              <a:t>Taylor</a:t>
            </a:r>
            <a:r>
              <a:rPr lang="en-US" baseline="0"/>
              <a:t> Rul</a:t>
            </a:r>
            <a:r>
              <a:rPr lang="en-US"/>
              <a:t>e, United States, 1923-1929</a:t>
            </a:r>
          </a:p>
          <a:p>
            <a:pPr>
              <a:defRPr/>
            </a:pPr>
            <a:r>
              <a:rPr lang="en-US" sz="1200" baseline="0"/>
              <a:t> target p = 0 and natural rate = .04</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Taylor Rule</c:v>
          </c:tx>
          <c:spPr>
            <a:ln w="28575" cap="rnd">
              <a:solidFill>
                <a:schemeClr val="accent1"/>
              </a:solidFill>
              <a:round/>
            </a:ln>
            <a:effectLst/>
          </c:spPr>
          <c:marker>
            <c:symbol val="none"/>
          </c:marker>
          <c:cat>
            <c:numRef>
              <c:f>'[Taylor Rule Master 02 16.xlsx]60 percent elasticity of GNP'!$A$60:$A$143</c:f>
              <c:numCache>
                <c:formatCode>yyyy\-mm\-dd</c:formatCode>
                <c:ptCount val="84"/>
                <c:pt idx="0">
                  <c:v>8402</c:v>
                </c:pt>
                <c:pt idx="1">
                  <c:v>8433</c:v>
                </c:pt>
                <c:pt idx="2">
                  <c:v>8461</c:v>
                </c:pt>
                <c:pt idx="3">
                  <c:v>8492</c:v>
                </c:pt>
                <c:pt idx="4">
                  <c:v>8522</c:v>
                </c:pt>
                <c:pt idx="5">
                  <c:v>8553</c:v>
                </c:pt>
                <c:pt idx="6">
                  <c:v>8583</c:v>
                </c:pt>
                <c:pt idx="7">
                  <c:v>8614</c:v>
                </c:pt>
                <c:pt idx="8">
                  <c:v>8645</c:v>
                </c:pt>
                <c:pt idx="9">
                  <c:v>8675</c:v>
                </c:pt>
                <c:pt idx="10">
                  <c:v>8706</c:v>
                </c:pt>
                <c:pt idx="11">
                  <c:v>8736</c:v>
                </c:pt>
                <c:pt idx="12">
                  <c:v>8767</c:v>
                </c:pt>
                <c:pt idx="13">
                  <c:v>8798</c:v>
                </c:pt>
                <c:pt idx="14">
                  <c:v>8827</c:v>
                </c:pt>
                <c:pt idx="15">
                  <c:v>8858</c:v>
                </c:pt>
                <c:pt idx="16">
                  <c:v>8888</c:v>
                </c:pt>
                <c:pt idx="17">
                  <c:v>8919</c:v>
                </c:pt>
                <c:pt idx="18">
                  <c:v>8949</c:v>
                </c:pt>
                <c:pt idx="19">
                  <c:v>8980</c:v>
                </c:pt>
                <c:pt idx="20">
                  <c:v>9011</c:v>
                </c:pt>
                <c:pt idx="21">
                  <c:v>9041</c:v>
                </c:pt>
                <c:pt idx="22">
                  <c:v>9072</c:v>
                </c:pt>
                <c:pt idx="23">
                  <c:v>9102</c:v>
                </c:pt>
                <c:pt idx="24">
                  <c:v>9133</c:v>
                </c:pt>
                <c:pt idx="25">
                  <c:v>9164</c:v>
                </c:pt>
                <c:pt idx="26">
                  <c:v>9192</c:v>
                </c:pt>
                <c:pt idx="27">
                  <c:v>9223</c:v>
                </c:pt>
                <c:pt idx="28">
                  <c:v>9253</c:v>
                </c:pt>
                <c:pt idx="29">
                  <c:v>9284</c:v>
                </c:pt>
                <c:pt idx="30">
                  <c:v>9314</c:v>
                </c:pt>
                <c:pt idx="31">
                  <c:v>9345</c:v>
                </c:pt>
                <c:pt idx="32">
                  <c:v>9376</c:v>
                </c:pt>
                <c:pt idx="33">
                  <c:v>9406</c:v>
                </c:pt>
                <c:pt idx="34">
                  <c:v>9437</c:v>
                </c:pt>
                <c:pt idx="35">
                  <c:v>9467</c:v>
                </c:pt>
                <c:pt idx="36">
                  <c:v>9498</c:v>
                </c:pt>
                <c:pt idx="37">
                  <c:v>9529</c:v>
                </c:pt>
                <c:pt idx="38">
                  <c:v>9557</c:v>
                </c:pt>
                <c:pt idx="39">
                  <c:v>9588</c:v>
                </c:pt>
                <c:pt idx="40">
                  <c:v>9618</c:v>
                </c:pt>
                <c:pt idx="41">
                  <c:v>9649</c:v>
                </c:pt>
                <c:pt idx="42">
                  <c:v>9679</c:v>
                </c:pt>
                <c:pt idx="43">
                  <c:v>9710</c:v>
                </c:pt>
                <c:pt idx="44">
                  <c:v>9741</c:v>
                </c:pt>
                <c:pt idx="45">
                  <c:v>9771</c:v>
                </c:pt>
                <c:pt idx="46">
                  <c:v>9802</c:v>
                </c:pt>
                <c:pt idx="47">
                  <c:v>9832</c:v>
                </c:pt>
                <c:pt idx="48">
                  <c:v>9863</c:v>
                </c:pt>
                <c:pt idx="49">
                  <c:v>9894</c:v>
                </c:pt>
                <c:pt idx="50">
                  <c:v>9922</c:v>
                </c:pt>
                <c:pt idx="51">
                  <c:v>9953</c:v>
                </c:pt>
                <c:pt idx="52">
                  <c:v>9983</c:v>
                </c:pt>
                <c:pt idx="53">
                  <c:v>10014</c:v>
                </c:pt>
                <c:pt idx="54">
                  <c:v>10044</c:v>
                </c:pt>
                <c:pt idx="55">
                  <c:v>10075</c:v>
                </c:pt>
                <c:pt idx="56">
                  <c:v>10106</c:v>
                </c:pt>
                <c:pt idx="57">
                  <c:v>10136</c:v>
                </c:pt>
                <c:pt idx="58">
                  <c:v>10167</c:v>
                </c:pt>
                <c:pt idx="59">
                  <c:v>10197</c:v>
                </c:pt>
                <c:pt idx="60">
                  <c:v>10228</c:v>
                </c:pt>
                <c:pt idx="61">
                  <c:v>10259</c:v>
                </c:pt>
                <c:pt idx="62">
                  <c:v>10288</c:v>
                </c:pt>
                <c:pt idx="63">
                  <c:v>10319</c:v>
                </c:pt>
                <c:pt idx="64">
                  <c:v>10349</c:v>
                </c:pt>
                <c:pt idx="65">
                  <c:v>10380</c:v>
                </c:pt>
                <c:pt idx="66">
                  <c:v>10410</c:v>
                </c:pt>
                <c:pt idx="67">
                  <c:v>10441</c:v>
                </c:pt>
                <c:pt idx="68">
                  <c:v>10472</c:v>
                </c:pt>
                <c:pt idx="69">
                  <c:v>10502</c:v>
                </c:pt>
                <c:pt idx="70">
                  <c:v>10533</c:v>
                </c:pt>
                <c:pt idx="71">
                  <c:v>10563</c:v>
                </c:pt>
                <c:pt idx="72">
                  <c:v>10594</c:v>
                </c:pt>
                <c:pt idx="73">
                  <c:v>10625</c:v>
                </c:pt>
                <c:pt idx="74">
                  <c:v>10653</c:v>
                </c:pt>
                <c:pt idx="75">
                  <c:v>10684</c:v>
                </c:pt>
                <c:pt idx="76">
                  <c:v>10714</c:v>
                </c:pt>
                <c:pt idx="77">
                  <c:v>10745</c:v>
                </c:pt>
                <c:pt idx="78">
                  <c:v>10775</c:v>
                </c:pt>
                <c:pt idx="79">
                  <c:v>10806</c:v>
                </c:pt>
                <c:pt idx="80">
                  <c:v>10837</c:v>
                </c:pt>
                <c:pt idx="81">
                  <c:v>10867</c:v>
                </c:pt>
                <c:pt idx="82">
                  <c:v>10898</c:v>
                </c:pt>
                <c:pt idx="83">
                  <c:v>10928</c:v>
                </c:pt>
              </c:numCache>
            </c:numRef>
          </c:cat>
          <c:val>
            <c:numRef>
              <c:f>'[Taylor Rule Master 02 16.xlsx]60 percent elasticity of GNP'!$O$60:$O$143</c:f>
              <c:numCache>
                <c:formatCode>0.00</c:formatCode>
                <c:ptCount val="84"/>
                <c:pt idx="0">
                  <c:v>8.3308723641579117E-3</c:v>
                </c:pt>
                <c:pt idx="1">
                  <c:v>1.1560783852676278E-2</c:v>
                </c:pt>
                <c:pt idx="2">
                  <c:v>3.7950935259671914E-2</c:v>
                </c:pt>
                <c:pt idx="3">
                  <c:v>5.2510729638061027E-2</c:v>
                </c:pt>
                <c:pt idx="4">
                  <c:v>5.5473745530427138E-2</c:v>
                </c:pt>
                <c:pt idx="5">
                  <c:v>6.0845166407913473E-2</c:v>
                </c:pt>
                <c:pt idx="6">
                  <c:v>6.5928726003594867E-2</c:v>
                </c:pt>
                <c:pt idx="7">
                  <c:v>6.8974581999090651E-2</c:v>
                </c:pt>
                <c:pt idx="8">
                  <c:v>7.0102501165053954E-2</c:v>
                </c:pt>
                <c:pt idx="9">
                  <c:v>6.7523713016332559E-2</c:v>
                </c:pt>
                <c:pt idx="10">
                  <c:v>5.7661511536576587E-2</c:v>
                </c:pt>
                <c:pt idx="11">
                  <c:v>4.0955838088901485E-2</c:v>
                </c:pt>
                <c:pt idx="12">
                  <c:v>5.584760953657654E-2</c:v>
                </c:pt>
                <c:pt idx="13">
                  <c:v>5.1647358368896543E-2</c:v>
                </c:pt>
                <c:pt idx="14">
                  <c:v>3.6591650543897888E-2</c:v>
                </c:pt>
                <c:pt idx="15">
                  <c:v>8.2835873368722543E-3</c:v>
                </c:pt>
                <c:pt idx="16">
                  <c:v>-5.5767900891156158E-3</c:v>
                </c:pt>
                <c:pt idx="17">
                  <c:v>-2.8871393576287312E-2</c:v>
                </c:pt>
                <c:pt idx="18">
                  <c:v>-4.3174727160761678E-2</c:v>
                </c:pt>
                <c:pt idx="19">
                  <c:v>-3.3389263467530461E-2</c:v>
                </c:pt>
                <c:pt idx="20">
                  <c:v>-2.3872694583771288E-2</c:v>
                </c:pt>
                <c:pt idx="21">
                  <c:v>-1.7534557953445162E-2</c:v>
                </c:pt>
                <c:pt idx="22">
                  <c:v>-1.2805618799646097E-2</c:v>
                </c:pt>
                <c:pt idx="23">
                  <c:v>3.238203479689207E-3</c:v>
                </c:pt>
                <c:pt idx="24">
                  <c:v>1.1686862714466097E-2</c:v>
                </c:pt>
                <c:pt idx="25">
                  <c:v>1.0779911714466073E-2</c:v>
                </c:pt>
                <c:pt idx="26">
                  <c:v>2.7315017707144541E-2</c:v>
                </c:pt>
                <c:pt idx="27">
                  <c:v>2.9131068533090197E-2</c:v>
                </c:pt>
                <c:pt idx="28">
                  <c:v>3.5609716408851827E-2</c:v>
                </c:pt>
                <c:pt idx="29">
                  <c:v>4.9316737966464359E-2</c:v>
                </c:pt>
                <c:pt idx="30">
                  <c:v>6.4482078849131041E-2</c:v>
                </c:pt>
                <c:pt idx="31">
                  <c:v>6.7176070522926942E-2</c:v>
                </c:pt>
                <c:pt idx="32">
                  <c:v>5.3516418886669068E-2</c:v>
                </c:pt>
                <c:pt idx="33">
                  <c:v>5.5579841305351083E-2</c:v>
                </c:pt>
                <c:pt idx="34">
                  <c:v>8.6199392365575389E-2</c:v>
                </c:pt>
                <c:pt idx="35">
                  <c:v>7.1965918355257702E-2</c:v>
                </c:pt>
                <c:pt idx="36">
                  <c:v>6.6077867858930911E-2</c:v>
                </c:pt>
                <c:pt idx="37">
                  <c:v>7.3866593385419732E-2</c:v>
                </c:pt>
                <c:pt idx="38">
                  <c:v>5.9606448527552855E-2</c:v>
                </c:pt>
                <c:pt idx="39">
                  <c:v>7.5798557377046188E-2</c:v>
                </c:pt>
                <c:pt idx="40">
                  <c:v>5.5302058941898505E-2</c:v>
                </c:pt>
                <c:pt idx="41">
                  <c:v>3.2428533316266203E-2</c:v>
                </c:pt>
                <c:pt idx="42">
                  <c:v>-1.3395252876342613E-3</c:v>
                </c:pt>
                <c:pt idx="43">
                  <c:v>-7.1729127473824459E-3</c:v>
                </c:pt>
                <c:pt idx="44">
                  <c:v>5.3326986180824501E-3</c:v>
                </c:pt>
                <c:pt idx="45">
                  <c:v>1.2972779290039274E-2</c:v>
                </c:pt>
                <c:pt idx="46">
                  <c:v>-5.8420324349616106E-3</c:v>
                </c:pt>
                <c:pt idx="47">
                  <c:v>4.0700912872798298E-4</c:v>
                </c:pt>
                <c:pt idx="48">
                  <c:v>-1.8755485608912784E-2</c:v>
                </c:pt>
                <c:pt idx="49">
                  <c:v>-2.5847967899728742E-2</c:v>
                </c:pt>
                <c:pt idx="50">
                  <c:v>-2.3419510979336929E-2</c:v>
                </c:pt>
                <c:pt idx="51">
                  <c:v>-3.9928187722896198E-2</c:v>
                </c:pt>
                <c:pt idx="52">
                  <c:v>-2.1366012587217799E-2</c:v>
                </c:pt>
                <c:pt idx="53">
                  <c:v>2.1109009634326867E-3</c:v>
                </c:pt>
                <c:pt idx="54">
                  <c:v>-1.1189161812440913E-2</c:v>
                </c:pt>
                <c:pt idx="55">
                  <c:v>-1.219577727545235E-2</c:v>
                </c:pt>
                <c:pt idx="56">
                  <c:v>-1.7943150601307505E-2</c:v>
                </c:pt>
                <c:pt idx="57">
                  <c:v>-2.5040957524517821E-2</c:v>
                </c:pt>
                <c:pt idx="58">
                  <c:v>-4.3092071903158537E-2</c:v>
                </c:pt>
                <c:pt idx="59">
                  <c:v>-4.2727724419955468E-2</c:v>
                </c:pt>
                <c:pt idx="60">
                  <c:v>-2.032597630250953E-2</c:v>
                </c:pt>
                <c:pt idx="61">
                  <c:v>-2.7613570379965542E-2</c:v>
                </c:pt>
                <c:pt idx="62">
                  <c:v>-1.7425114545306122E-2</c:v>
                </c:pt>
                <c:pt idx="63">
                  <c:v>-1.9552208666517228E-2</c:v>
                </c:pt>
                <c:pt idx="64">
                  <c:v>-1.6708187334665722E-2</c:v>
                </c:pt>
                <c:pt idx="65">
                  <c:v>-4.1094081763628061E-2</c:v>
                </c:pt>
                <c:pt idx="66">
                  <c:v>-1.2634850280556702E-2</c:v>
                </c:pt>
                <c:pt idx="67">
                  <c:v>1.0247499945856102E-3</c:v>
                </c:pt>
                <c:pt idx="68">
                  <c:v>1.1181593077271013E-2</c:v>
                </c:pt>
                <c:pt idx="69">
                  <c:v>-1.3522952541786329E-3</c:v>
                </c:pt>
                <c:pt idx="70">
                  <c:v>1.1993794511652014E-2</c:v>
                </c:pt>
                <c:pt idx="71">
                  <c:v>7.845054113374713E-3</c:v>
                </c:pt>
                <c:pt idx="72">
                  <c:v>1.1271794258416696E-2</c:v>
                </c:pt>
                <c:pt idx="73">
                  <c:v>2.6727322087608231E-2</c:v>
                </c:pt>
                <c:pt idx="74">
                  <c:v>1.8102270072498098E-2</c:v>
                </c:pt>
                <c:pt idx="75">
                  <c:v>1.3674303512242936E-2</c:v>
                </c:pt>
                <c:pt idx="76">
                  <c:v>1.8106126807831108E-2</c:v>
                </c:pt>
                <c:pt idx="77">
                  <c:v>3.6812913554906158E-2</c:v>
                </c:pt>
                <c:pt idx="78">
                  <c:v>5.7441237597857568E-2</c:v>
                </c:pt>
                <c:pt idx="79">
                  <c:v>5.3468663780387719E-2</c:v>
                </c:pt>
                <c:pt idx="80">
                  <c:v>3.3057079246862887E-2</c:v>
                </c:pt>
                <c:pt idx="81">
                  <c:v>3.5628417193396864E-2</c:v>
                </c:pt>
                <c:pt idx="82">
                  <c:v>1.9609113826022886E-2</c:v>
                </c:pt>
                <c:pt idx="83">
                  <c:v>5.16939712106982E-3</c:v>
                </c:pt>
              </c:numCache>
            </c:numRef>
          </c:val>
          <c:smooth val="0"/>
          <c:extLst>
            <c:ext xmlns:c16="http://schemas.microsoft.com/office/drawing/2014/chart" uri="{C3380CC4-5D6E-409C-BE32-E72D297353CC}">
              <c16:uniqueId val="{00000000-941E-4139-942F-5156371C6398}"/>
            </c:ext>
          </c:extLst>
        </c:ser>
        <c:ser>
          <c:idx val="1"/>
          <c:order val="1"/>
          <c:tx>
            <c:v>Discount Rate</c:v>
          </c:tx>
          <c:spPr>
            <a:ln w="28575" cap="rnd">
              <a:solidFill>
                <a:schemeClr val="accent2"/>
              </a:solidFill>
              <a:round/>
            </a:ln>
            <a:effectLst/>
          </c:spPr>
          <c:marker>
            <c:symbol val="none"/>
          </c:marker>
          <c:cat>
            <c:numRef>
              <c:f>'[Taylor Rule Master 02 16.xlsx]60 percent elasticity of GNP'!$A$60:$A$143</c:f>
              <c:numCache>
                <c:formatCode>yyyy\-mm\-dd</c:formatCode>
                <c:ptCount val="84"/>
                <c:pt idx="0">
                  <c:v>8402</c:v>
                </c:pt>
                <c:pt idx="1">
                  <c:v>8433</c:v>
                </c:pt>
                <c:pt idx="2">
                  <c:v>8461</c:v>
                </c:pt>
                <c:pt idx="3">
                  <c:v>8492</c:v>
                </c:pt>
                <c:pt idx="4">
                  <c:v>8522</c:v>
                </c:pt>
                <c:pt idx="5">
                  <c:v>8553</c:v>
                </c:pt>
                <c:pt idx="6">
                  <c:v>8583</c:v>
                </c:pt>
                <c:pt idx="7">
                  <c:v>8614</c:v>
                </c:pt>
                <c:pt idx="8">
                  <c:v>8645</c:v>
                </c:pt>
                <c:pt idx="9">
                  <c:v>8675</c:v>
                </c:pt>
                <c:pt idx="10">
                  <c:v>8706</c:v>
                </c:pt>
                <c:pt idx="11">
                  <c:v>8736</c:v>
                </c:pt>
                <c:pt idx="12">
                  <c:v>8767</c:v>
                </c:pt>
                <c:pt idx="13">
                  <c:v>8798</c:v>
                </c:pt>
                <c:pt idx="14">
                  <c:v>8827</c:v>
                </c:pt>
                <c:pt idx="15">
                  <c:v>8858</c:v>
                </c:pt>
                <c:pt idx="16">
                  <c:v>8888</c:v>
                </c:pt>
                <c:pt idx="17">
                  <c:v>8919</c:v>
                </c:pt>
                <c:pt idx="18">
                  <c:v>8949</c:v>
                </c:pt>
                <c:pt idx="19">
                  <c:v>8980</c:v>
                </c:pt>
                <c:pt idx="20">
                  <c:v>9011</c:v>
                </c:pt>
                <c:pt idx="21">
                  <c:v>9041</c:v>
                </c:pt>
                <c:pt idx="22">
                  <c:v>9072</c:v>
                </c:pt>
                <c:pt idx="23">
                  <c:v>9102</c:v>
                </c:pt>
                <c:pt idx="24">
                  <c:v>9133</c:v>
                </c:pt>
                <c:pt idx="25">
                  <c:v>9164</c:v>
                </c:pt>
                <c:pt idx="26">
                  <c:v>9192</c:v>
                </c:pt>
                <c:pt idx="27">
                  <c:v>9223</c:v>
                </c:pt>
                <c:pt idx="28">
                  <c:v>9253</c:v>
                </c:pt>
                <c:pt idx="29">
                  <c:v>9284</c:v>
                </c:pt>
                <c:pt idx="30">
                  <c:v>9314</c:v>
                </c:pt>
                <c:pt idx="31">
                  <c:v>9345</c:v>
                </c:pt>
                <c:pt idx="32">
                  <c:v>9376</c:v>
                </c:pt>
                <c:pt idx="33">
                  <c:v>9406</c:v>
                </c:pt>
                <c:pt idx="34">
                  <c:v>9437</c:v>
                </c:pt>
                <c:pt idx="35">
                  <c:v>9467</c:v>
                </c:pt>
                <c:pt idx="36">
                  <c:v>9498</c:v>
                </c:pt>
                <c:pt idx="37">
                  <c:v>9529</c:v>
                </c:pt>
                <c:pt idx="38">
                  <c:v>9557</c:v>
                </c:pt>
                <c:pt idx="39">
                  <c:v>9588</c:v>
                </c:pt>
                <c:pt idx="40">
                  <c:v>9618</c:v>
                </c:pt>
                <c:pt idx="41">
                  <c:v>9649</c:v>
                </c:pt>
                <c:pt idx="42">
                  <c:v>9679</c:v>
                </c:pt>
                <c:pt idx="43">
                  <c:v>9710</c:v>
                </c:pt>
                <c:pt idx="44">
                  <c:v>9741</c:v>
                </c:pt>
                <c:pt idx="45">
                  <c:v>9771</c:v>
                </c:pt>
                <c:pt idx="46">
                  <c:v>9802</c:v>
                </c:pt>
                <c:pt idx="47">
                  <c:v>9832</c:v>
                </c:pt>
                <c:pt idx="48">
                  <c:v>9863</c:v>
                </c:pt>
                <c:pt idx="49">
                  <c:v>9894</c:v>
                </c:pt>
                <c:pt idx="50">
                  <c:v>9922</c:v>
                </c:pt>
                <c:pt idx="51">
                  <c:v>9953</c:v>
                </c:pt>
                <c:pt idx="52">
                  <c:v>9983</c:v>
                </c:pt>
                <c:pt idx="53">
                  <c:v>10014</c:v>
                </c:pt>
                <c:pt idx="54">
                  <c:v>10044</c:v>
                </c:pt>
                <c:pt idx="55">
                  <c:v>10075</c:v>
                </c:pt>
                <c:pt idx="56">
                  <c:v>10106</c:v>
                </c:pt>
                <c:pt idx="57">
                  <c:v>10136</c:v>
                </c:pt>
                <c:pt idx="58">
                  <c:v>10167</c:v>
                </c:pt>
                <c:pt idx="59">
                  <c:v>10197</c:v>
                </c:pt>
                <c:pt idx="60">
                  <c:v>10228</c:v>
                </c:pt>
                <c:pt idx="61">
                  <c:v>10259</c:v>
                </c:pt>
                <c:pt idx="62">
                  <c:v>10288</c:v>
                </c:pt>
                <c:pt idx="63">
                  <c:v>10319</c:v>
                </c:pt>
                <c:pt idx="64">
                  <c:v>10349</c:v>
                </c:pt>
                <c:pt idx="65">
                  <c:v>10380</c:v>
                </c:pt>
                <c:pt idx="66">
                  <c:v>10410</c:v>
                </c:pt>
                <c:pt idx="67">
                  <c:v>10441</c:v>
                </c:pt>
                <c:pt idx="68">
                  <c:v>10472</c:v>
                </c:pt>
                <c:pt idx="69">
                  <c:v>10502</c:v>
                </c:pt>
                <c:pt idx="70">
                  <c:v>10533</c:v>
                </c:pt>
                <c:pt idx="71">
                  <c:v>10563</c:v>
                </c:pt>
                <c:pt idx="72">
                  <c:v>10594</c:v>
                </c:pt>
                <c:pt idx="73">
                  <c:v>10625</c:v>
                </c:pt>
                <c:pt idx="74">
                  <c:v>10653</c:v>
                </c:pt>
                <c:pt idx="75">
                  <c:v>10684</c:v>
                </c:pt>
                <c:pt idx="76">
                  <c:v>10714</c:v>
                </c:pt>
                <c:pt idx="77">
                  <c:v>10745</c:v>
                </c:pt>
                <c:pt idx="78">
                  <c:v>10775</c:v>
                </c:pt>
                <c:pt idx="79">
                  <c:v>10806</c:v>
                </c:pt>
                <c:pt idx="80">
                  <c:v>10837</c:v>
                </c:pt>
                <c:pt idx="81">
                  <c:v>10867</c:v>
                </c:pt>
                <c:pt idx="82">
                  <c:v>10898</c:v>
                </c:pt>
                <c:pt idx="83">
                  <c:v>10928</c:v>
                </c:pt>
              </c:numCache>
            </c:numRef>
          </c:cat>
          <c:val>
            <c:numRef>
              <c:f>'[Taylor Rule Master 02 16.xlsx]60 percent elasticity of GNP'!$P$60:$P$143</c:f>
              <c:numCache>
                <c:formatCode>General</c:formatCode>
                <c:ptCount val="84"/>
                <c:pt idx="0">
                  <c:v>0.04</c:v>
                </c:pt>
                <c:pt idx="1">
                  <c:v>4.1100000000000005E-2</c:v>
                </c:pt>
                <c:pt idx="2">
                  <c:v>4.4999999999999998E-2</c:v>
                </c:pt>
                <c:pt idx="3">
                  <c:v>4.4999999999999998E-2</c:v>
                </c:pt>
                <c:pt idx="4">
                  <c:v>4.4999999999999998E-2</c:v>
                </c:pt>
                <c:pt idx="5">
                  <c:v>4.4999999999999998E-2</c:v>
                </c:pt>
                <c:pt idx="6">
                  <c:v>4.4999999999999998E-2</c:v>
                </c:pt>
                <c:pt idx="7">
                  <c:v>4.4999999999999998E-2</c:v>
                </c:pt>
                <c:pt idx="8">
                  <c:v>4.4999999999999998E-2</c:v>
                </c:pt>
                <c:pt idx="9">
                  <c:v>4.4999999999999998E-2</c:v>
                </c:pt>
                <c:pt idx="10">
                  <c:v>4.4999999999999998E-2</c:v>
                </c:pt>
                <c:pt idx="11">
                  <c:v>4.4999999999999998E-2</c:v>
                </c:pt>
                <c:pt idx="12">
                  <c:v>4.4999999999999998E-2</c:v>
                </c:pt>
                <c:pt idx="13">
                  <c:v>4.4999999999999998E-2</c:v>
                </c:pt>
                <c:pt idx="14">
                  <c:v>4.4999999999999998E-2</c:v>
                </c:pt>
                <c:pt idx="15">
                  <c:v>4.4999999999999998E-2</c:v>
                </c:pt>
                <c:pt idx="16">
                  <c:v>0.04</c:v>
                </c:pt>
                <c:pt idx="17">
                  <c:v>3.6799999999999999E-2</c:v>
                </c:pt>
                <c:pt idx="18">
                  <c:v>3.5000000000000003E-2</c:v>
                </c:pt>
                <c:pt idx="19">
                  <c:v>3.1099999999999999E-2</c:v>
                </c:pt>
                <c:pt idx="20">
                  <c:v>0.03</c:v>
                </c:pt>
                <c:pt idx="21">
                  <c:v>0.03</c:v>
                </c:pt>
                <c:pt idx="22">
                  <c:v>0.03</c:v>
                </c:pt>
                <c:pt idx="23">
                  <c:v>0.03</c:v>
                </c:pt>
                <c:pt idx="24">
                  <c:v>0.03</c:v>
                </c:pt>
                <c:pt idx="25">
                  <c:v>3.04E-2</c:v>
                </c:pt>
                <c:pt idx="26">
                  <c:v>3.5000000000000003E-2</c:v>
                </c:pt>
                <c:pt idx="27">
                  <c:v>3.5000000000000003E-2</c:v>
                </c:pt>
                <c:pt idx="28">
                  <c:v>3.5000000000000003E-2</c:v>
                </c:pt>
                <c:pt idx="29">
                  <c:v>3.5000000000000003E-2</c:v>
                </c:pt>
                <c:pt idx="30">
                  <c:v>3.5000000000000003E-2</c:v>
                </c:pt>
                <c:pt idx="31">
                  <c:v>3.5000000000000003E-2</c:v>
                </c:pt>
                <c:pt idx="32">
                  <c:v>3.5000000000000003E-2</c:v>
                </c:pt>
                <c:pt idx="33">
                  <c:v>3.5000000000000003E-2</c:v>
                </c:pt>
                <c:pt idx="34">
                  <c:v>3.5000000000000003E-2</c:v>
                </c:pt>
                <c:pt idx="35">
                  <c:v>3.5000000000000003E-2</c:v>
                </c:pt>
                <c:pt idx="36">
                  <c:v>3.8900000000000004E-2</c:v>
                </c:pt>
                <c:pt idx="37">
                  <c:v>0.04</c:v>
                </c:pt>
                <c:pt idx="38">
                  <c:v>0.04</c:v>
                </c:pt>
                <c:pt idx="39">
                  <c:v>3.8699999999999998E-2</c:v>
                </c:pt>
                <c:pt idx="40">
                  <c:v>3.5000000000000003E-2</c:v>
                </c:pt>
                <c:pt idx="41">
                  <c:v>3.5000000000000003E-2</c:v>
                </c:pt>
                <c:pt idx="42">
                  <c:v>3.5000000000000003E-2</c:v>
                </c:pt>
                <c:pt idx="43">
                  <c:v>3.8100000000000002E-2</c:v>
                </c:pt>
                <c:pt idx="44">
                  <c:v>0.04</c:v>
                </c:pt>
                <c:pt idx="45">
                  <c:v>0.04</c:v>
                </c:pt>
                <c:pt idx="46">
                  <c:v>0.04</c:v>
                </c:pt>
                <c:pt idx="47">
                  <c:v>0.04</c:v>
                </c:pt>
                <c:pt idx="48">
                  <c:v>0.04</c:v>
                </c:pt>
                <c:pt idx="49">
                  <c:v>0.04</c:v>
                </c:pt>
                <c:pt idx="50">
                  <c:v>0.04</c:v>
                </c:pt>
                <c:pt idx="51">
                  <c:v>0.04</c:v>
                </c:pt>
                <c:pt idx="52">
                  <c:v>0.04</c:v>
                </c:pt>
                <c:pt idx="53">
                  <c:v>0.04</c:v>
                </c:pt>
                <c:pt idx="54">
                  <c:v>0.04</c:v>
                </c:pt>
                <c:pt idx="55">
                  <c:v>3.56E-2</c:v>
                </c:pt>
                <c:pt idx="56">
                  <c:v>3.5000000000000003E-2</c:v>
                </c:pt>
                <c:pt idx="57">
                  <c:v>3.5000000000000003E-2</c:v>
                </c:pt>
                <c:pt idx="58">
                  <c:v>3.5000000000000003E-2</c:v>
                </c:pt>
                <c:pt idx="59">
                  <c:v>3.5000000000000003E-2</c:v>
                </c:pt>
                <c:pt idx="60">
                  <c:v>3.5000000000000003E-2</c:v>
                </c:pt>
                <c:pt idx="61">
                  <c:v>3.9699999999999999E-2</c:v>
                </c:pt>
                <c:pt idx="62">
                  <c:v>0.04</c:v>
                </c:pt>
                <c:pt idx="63">
                  <c:v>0.04</c:v>
                </c:pt>
                <c:pt idx="64">
                  <c:v>4.2300000000000004E-2</c:v>
                </c:pt>
                <c:pt idx="65">
                  <c:v>4.4999999999999998E-2</c:v>
                </c:pt>
                <c:pt idx="66">
                  <c:v>4.8099999999999997E-2</c:v>
                </c:pt>
                <c:pt idx="67">
                  <c:v>0.05</c:v>
                </c:pt>
                <c:pt idx="68">
                  <c:v>0.05</c:v>
                </c:pt>
                <c:pt idx="69">
                  <c:v>0.05</c:v>
                </c:pt>
                <c:pt idx="70">
                  <c:v>0.05</c:v>
                </c:pt>
                <c:pt idx="71">
                  <c:v>0.05</c:v>
                </c:pt>
                <c:pt idx="72">
                  <c:v>0.05</c:v>
                </c:pt>
                <c:pt idx="73">
                  <c:v>0.05</c:v>
                </c:pt>
                <c:pt idx="74">
                  <c:v>0.05</c:v>
                </c:pt>
                <c:pt idx="75">
                  <c:v>0.05</c:v>
                </c:pt>
                <c:pt idx="76">
                  <c:v>0.05</c:v>
                </c:pt>
                <c:pt idx="77">
                  <c:v>0.05</c:v>
                </c:pt>
                <c:pt idx="78">
                  <c:v>0.05</c:v>
                </c:pt>
                <c:pt idx="79">
                  <c:v>5.74E-2</c:v>
                </c:pt>
                <c:pt idx="80">
                  <c:v>0.06</c:v>
                </c:pt>
                <c:pt idx="81">
                  <c:v>0.06</c:v>
                </c:pt>
                <c:pt idx="82">
                  <c:v>4.7300000000000002E-2</c:v>
                </c:pt>
                <c:pt idx="83">
                  <c:v>4.4999999999999998E-2</c:v>
                </c:pt>
              </c:numCache>
            </c:numRef>
          </c:val>
          <c:smooth val="0"/>
          <c:extLst>
            <c:ext xmlns:c16="http://schemas.microsoft.com/office/drawing/2014/chart" uri="{C3380CC4-5D6E-409C-BE32-E72D297353CC}">
              <c16:uniqueId val="{00000001-941E-4139-942F-5156371C6398}"/>
            </c:ext>
          </c:extLst>
        </c:ser>
        <c:dLbls>
          <c:showLegendKey val="0"/>
          <c:showVal val="0"/>
          <c:showCatName val="0"/>
          <c:showSerName val="0"/>
          <c:showPercent val="0"/>
          <c:showBubbleSize val="0"/>
        </c:dLbls>
        <c:smooth val="0"/>
        <c:axId val="919324144"/>
        <c:axId val="919325320"/>
      </c:lineChart>
      <c:dateAx>
        <c:axId val="919324144"/>
        <c:scaling>
          <c:orientation val="minMax"/>
        </c:scaling>
        <c:delete val="0"/>
        <c:axPos val="b"/>
        <c:numFmt formatCode="yyyy\-mm\-dd"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9325320"/>
        <c:crosses val="autoZero"/>
        <c:auto val="1"/>
        <c:lblOffset val="100"/>
        <c:baseTimeUnit val="months"/>
      </c:dateAx>
      <c:valAx>
        <c:axId val="9193253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9324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9D40-0F80-48B1-8237-93BCED470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53</Pages>
  <Words>12576</Words>
  <Characters>71686</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5</cp:revision>
  <cp:lastPrinted>2016-02-04T19:48:00Z</cp:lastPrinted>
  <dcterms:created xsi:type="dcterms:W3CDTF">2016-02-24T18:26:00Z</dcterms:created>
  <dcterms:modified xsi:type="dcterms:W3CDTF">2016-02-24T22:47:00Z</dcterms:modified>
</cp:coreProperties>
</file>